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300990</wp:posOffset>
                </wp:positionH>
                <wp:positionV relativeFrom="paragraph">
                  <wp:posOffset>213995</wp:posOffset>
                </wp:positionV>
                <wp:extent cx="4610735" cy="1819275"/>
                <wp:effectExtent l="0" t="0" r="18415" b="9525"/>
                <wp:wrapNone/>
                <wp:docPr id="3" name="文本框 6"/>
                <wp:cNvGraphicFramePr/>
                <a:graphic xmlns:a="http://schemas.openxmlformats.org/drawingml/2006/main">
                  <a:graphicData uri="http://schemas.microsoft.com/office/word/2010/wordprocessingShape">
                    <wps:wsp>
                      <wps:cNvSpPr txBox="1"/>
                      <wps:spPr>
                        <a:xfrm>
                          <a:off x="0" y="0"/>
                          <a:ext cx="4610735" cy="181927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松山湖大学创新城创投大厦A、B塔配</w:t>
                            </w:r>
                          </w:p>
                          <w:p>
                            <w:pPr>
                              <w:widowControl/>
                              <w:spacing w:line="360" w:lineRule="auto"/>
                              <w:ind w:left="1601" w:leftChars="667" w:right="-26" w:firstLine="0" w:firstLineChars="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lang w:eastAsia="zh-CN"/>
                              </w:rPr>
                              <w:t>套服务用房完善项目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TTWY-22014</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23.7pt;margin-top:16.85pt;height:143.25pt;width:363.05pt;z-index:-251653120;mso-width-relative:page;mso-height-relative:page;" fillcolor="#FFFFFF" filled="t" stroked="f" coordsize="21600,21600" o:gfxdata="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y7cg2gAAAAkBAAAPAAAAAAAAAAEAIAAAACIAAABk&#10;cnMvZG93bnJldi54bWxQSwECFAAUAAAACACHTuJA77QYx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松山湖大学创新城创投大厦A、B塔配</w:t>
                      </w:r>
                    </w:p>
                    <w:p>
                      <w:pPr>
                        <w:widowControl/>
                        <w:spacing w:line="360" w:lineRule="auto"/>
                        <w:ind w:left="1601" w:leftChars="667" w:right="-26" w:firstLine="0" w:firstLineChars="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lang w:eastAsia="zh-CN"/>
                        </w:rPr>
                        <w:t>套服务用房完善项目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TTWY-22014</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四</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rPr>
          <w:rFonts w:hAnsi="宋体"/>
          <w:b/>
          <w:bCs/>
          <w:color w:val="auto"/>
          <w:sz w:val="32"/>
          <w:szCs w:val="32"/>
          <w:highlight w:val="none"/>
          <w:lang w:val="zh-CN"/>
        </w:rPr>
      </w:pPr>
    </w:p>
    <w:p>
      <w:pPr>
        <w:pStyle w:val="7"/>
        <w:rPr>
          <w:rFonts w:hAnsi="宋体"/>
          <w:b/>
          <w:bCs/>
          <w:color w:val="auto"/>
          <w:sz w:val="32"/>
          <w:szCs w:val="32"/>
          <w:highlight w:val="none"/>
          <w:lang w:val="zh-CN"/>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1" w:name="_Toc396137229"/>
    </w:p>
    <w:p>
      <w:pPr>
        <w:pStyle w:val="35"/>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aps/>
          <w:color w:val="auto"/>
          <w:sz w:val="24"/>
          <w:szCs w:val="24"/>
          <w:highlight w:val="none"/>
        </w:rPr>
        <w:fldChar w:fldCharType="begin"/>
      </w:r>
      <w:r>
        <w:rPr>
          <w:rStyle w:val="58"/>
          <w:rFonts w:hint="eastAsia" w:ascii="宋体" w:hAnsi="宋体" w:eastAsia="宋体" w:cs="宋体"/>
          <w:b/>
          <w:bCs/>
          <w:caps/>
          <w:color w:val="auto"/>
          <w:sz w:val="24"/>
          <w:szCs w:val="24"/>
          <w:highlight w:val="none"/>
        </w:rPr>
        <w:instrText xml:space="preserve"> TOC \o "1-3" \h \z \u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_Toc5593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 xml:space="preserve">第一篇 </w:t>
      </w:r>
      <w:r>
        <w:rPr>
          <w:rFonts w:hint="eastAsia" w:ascii="宋体" w:hAnsi="宋体" w:eastAsia="宋体" w:cs="宋体"/>
          <w:bCs/>
          <w:color w:val="auto"/>
          <w:kern w:val="44"/>
          <w:sz w:val="24"/>
          <w:szCs w:val="24"/>
          <w:highlight w:val="none"/>
        </w:rPr>
        <w:t>磋商邀请书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pPr>
        <w:pStyle w:val="35"/>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第二篇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5"/>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第三篇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5"/>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第四篇 评审工作大纲</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5"/>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第五篇 </w:t>
      </w:r>
      <w:r>
        <w:rPr>
          <w:rFonts w:hint="eastAsia" w:ascii="宋体" w:hAnsi="宋体" w:eastAsia="宋体" w:cs="宋体"/>
          <w:bCs/>
          <w:color w:val="auto"/>
          <w:kern w:val="44"/>
          <w:sz w:val="24"/>
          <w:szCs w:val="24"/>
          <w:highlight w:val="none"/>
          <w:lang w:val="zh-CN"/>
        </w:rPr>
        <w:t>合同条款格式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_Toc28639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5"/>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第六篇</w:t>
      </w:r>
      <w:r>
        <w:rPr>
          <w:rFonts w:hint="eastAsia" w:ascii="宋体" w:hAnsi="宋体" w:eastAsia="宋体" w:cs="宋体"/>
          <w:bCs/>
          <w:color w:val="auto"/>
          <w:kern w:val="44"/>
          <w:sz w:val="24"/>
          <w:szCs w:val="24"/>
          <w:highlight w:val="none"/>
          <w:lang w:val="en-US" w:eastAsia="zh-CN"/>
        </w:rPr>
        <w:t xml:space="preserve"> </w:t>
      </w:r>
      <w:r>
        <w:rPr>
          <w:rFonts w:hint="eastAsia" w:ascii="宋体" w:hAnsi="宋体" w:eastAsia="宋体" w:cs="宋体"/>
          <w:bCs/>
          <w:color w:val="auto"/>
          <w:kern w:val="44"/>
          <w:sz w:val="24"/>
          <w:szCs w:val="24"/>
          <w:highlight w:val="none"/>
          <w:lang w:val="zh-CN"/>
        </w:rPr>
        <w:t>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
        <w:keepNext/>
        <w:keepLines/>
        <w:pageBreakBefore/>
        <w:widowControl w:val="0"/>
        <w:numPr>
          <w:ilvl w:val="0"/>
          <w:numId w:val="10"/>
        </w:numPr>
        <w:tabs>
          <w:tab w:val="left" w:pos="1080"/>
        </w:tabs>
        <w:kinsoku/>
        <w:wordWrap/>
        <w:overflowPunct/>
        <w:topLinePunct w:val="0"/>
        <w:autoSpaceDE w:val="0"/>
        <w:autoSpaceDN w:val="0"/>
        <w:bidi w:val="0"/>
        <w:adjustRightInd w:val="0"/>
        <w:snapToGrid/>
        <w:spacing w:line="360" w:lineRule="auto"/>
        <w:ind w:left="1078" w:hanging="1077" w:hangingChars="449"/>
        <w:jc w:val="center"/>
        <w:textAlignment w:val="auto"/>
        <w:rPr>
          <w:rFonts w:hAnsi="宋体"/>
          <w:b/>
          <w:bCs/>
          <w:color w:val="auto"/>
          <w:kern w:val="44"/>
          <w:sz w:val="28"/>
          <w:szCs w:val="28"/>
          <w:highlight w:val="none"/>
          <w:lang w:val="zh-CN"/>
        </w:rPr>
      </w:pPr>
      <w:r>
        <w:rPr>
          <w:rFonts w:hint="eastAsia" w:ascii="宋体" w:hAnsi="宋体" w:eastAsia="宋体" w:cs="宋体"/>
          <w:color w:val="auto"/>
          <w:sz w:val="24"/>
          <w:szCs w:val="24"/>
          <w:highlight w:val="none"/>
        </w:rPr>
        <w:fldChar w:fldCharType="end"/>
      </w:r>
      <w:bookmarkEnd w:id="1"/>
      <w:bookmarkStart w:id="2" w:name="_Toc5593"/>
      <w:r>
        <w:rPr>
          <w:rFonts w:hint="eastAsia" w:hAnsi="宋体"/>
          <w:b/>
          <w:bCs/>
          <w:color w:val="auto"/>
          <w:kern w:val="44"/>
          <w:sz w:val="28"/>
          <w:szCs w:val="28"/>
          <w:highlight w:val="none"/>
        </w:rPr>
        <w:t>磋商邀请书</w:t>
      </w:r>
      <w:bookmarkEnd w:id="2"/>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松山湖大学创新城创投大厦A、B塔配套服务用房完善项目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TTWY-22014</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松山湖大学创新城创投大厦A、B塔配套服务用房完善项目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TTWY-22014</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385,351</w:t>
      </w:r>
      <w:r>
        <w:rPr>
          <w:rFonts w:hint="eastAsia" w:hAnsi="宋体"/>
          <w:color w:val="auto"/>
          <w:sz w:val="21"/>
          <w:szCs w:val="21"/>
          <w:highlight w:val="none"/>
        </w:rPr>
        <w:t>.</w:t>
      </w:r>
      <w:r>
        <w:rPr>
          <w:rFonts w:hint="eastAsia" w:hAnsi="宋体"/>
          <w:color w:val="auto"/>
          <w:sz w:val="21"/>
          <w:szCs w:val="21"/>
          <w:highlight w:val="none"/>
          <w:lang w:val="en-US" w:eastAsia="zh-CN"/>
        </w:rPr>
        <w:t>94</w:t>
      </w:r>
      <w:r>
        <w:rPr>
          <w:rFonts w:hint="eastAsia" w:hAnsi="宋体"/>
          <w:color w:val="auto"/>
          <w:sz w:val="21"/>
          <w:szCs w:val="21"/>
          <w:highlight w:val="none"/>
          <w:lang w:eastAsia="zh-CN"/>
        </w:rPr>
        <w:t>元</w:t>
      </w:r>
      <w:r>
        <w:rPr>
          <w:rFonts w:hint="eastAsia" w:hAnsi="宋体"/>
          <w:color w:val="auto"/>
          <w:sz w:val="21"/>
          <w:szCs w:val="21"/>
          <w:highlight w:val="none"/>
        </w:rPr>
        <w:t>（包含绿色施工安全防护措施费</w:t>
      </w:r>
      <w:r>
        <w:rPr>
          <w:rFonts w:hint="eastAsia" w:hAnsi="宋体"/>
          <w:color w:val="auto"/>
          <w:sz w:val="21"/>
          <w:szCs w:val="21"/>
          <w:highlight w:val="none"/>
          <w:lang w:val="en-US" w:eastAsia="zh-CN"/>
        </w:rPr>
        <w:t>17,453.4</w:t>
      </w:r>
      <w:r>
        <w:rPr>
          <w:rFonts w:hint="eastAsia" w:hAnsi="宋体"/>
          <w:color w:val="auto"/>
          <w:sz w:val="21"/>
          <w:szCs w:val="21"/>
          <w:highlight w:val="none"/>
        </w:rPr>
        <w:t>元）</w:t>
      </w:r>
      <w:bookmarkStart w:id="341" w:name="_GoBack"/>
      <w:bookmarkEnd w:id="341"/>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供应商须具备</w:t>
      </w:r>
      <w:r>
        <w:rPr>
          <w:rFonts w:hint="eastAsia" w:hAnsi="宋体"/>
          <w:color w:val="auto"/>
          <w:kern w:val="2"/>
          <w:sz w:val="21"/>
          <w:szCs w:val="21"/>
          <w:highlight w:val="none"/>
          <w:lang w:val="en-US" w:eastAsia="zh-CN"/>
        </w:rPr>
        <w:t>建筑</w:t>
      </w:r>
      <w:r>
        <w:rPr>
          <w:rFonts w:hint="eastAsia" w:hAnsi="宋体"/>
          <w:color w:val="auto"/>
          <w:kern w:val="2"/>
          <w:sz w:val="21"/>
          <w:szCs w:val="21"/>
          <w:highlight w:val="none"/>
          <w:lang w:eastAsia="zh-CN"/>
        </w:rPr>
        <w:t>工程施工总承包三级或以上资质。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9"/>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13</w:t>
      </w:r>
      <w:r>
        <w:rPr>
          <w:rFonts w:hint="eastAsia" w:hAnsi="宋体"/>
          <w:color w:val="auto"/>
          <w:sz w:val="21"/>
          <w:szCs w:val="21"/>
          <w:highlight w:val="none"/>
        </w:rPr>
        <w:t>日上午9:</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13</w:t>
      </w:r>
      <w:r>
        <w:rPr>
          <w:rFonts w:hint="eastAsia" w:hAnsi="宋体"/>
          <w:color w:val="auto"/>
          <w:sz w:val="21"/>
          <w:szCs w:val="21"/>
          <w:highlight w:val="none"/>
        </w:rPr>
        <w:t>日上午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罗小姐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姜</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2022</w:t>
      </w:r>
      <w:r>
        <w:rPr>
          <w:rFonts w:hint="eastAsia" w:hAnsi="宋体"/>
          <w:b/>
          <w:color w:val="auto"/>
          <w:sz w:val="21"/>
          <w:szCs w:val="21"/>
          <w:highlight w:val="none"/>
        </w:rPr>
        <w:t>年</w:t>
      </w:r>
      <w:r>
        <w:rPr>
          <w:rFonts w:hint="eastAsia" w:hAnsi="宋体"/>
          <w:b/>
          <w:color w:val="auto"/>
          <w:sz w:val="21"/>
          <w:szCs w:val="21"/>
          <w:highlight w:val="none"/>
          <w:lang w:val="en-US" w:eastAsia="zh-CN"/>
        </w:rPr>
        <w:t>4</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3594"/>
      <w:r>
        <w:rPr>
          <w:rFonts w:hint="eastAsia" w:hAnsi="宋体"/>
          <w:b/>
          <w:bCs/>
          <w:color w:val="auto"/>
          <w:kern w:val="44"/>
          <w:sz w:val="28"/>
          <w:szCs w:val="28"/>
          <w:highlight w:val="none"/>
          <w:lang w:val="zh-CN"/>
        </w:rPr>
        <w:t>供应商须知</w:t>
      </w:r>
      <w:bookmarkEnd w:id="3"/>
      <w:bookmarkEnd w:id="4"/>
    </w:p>
    <w:p>
      <w:pPr>
        <w:pStyle w:val="5"/>
        <w:adjustRightInd/>
        <w:spacing w:line="360" w:lineRule="auto"/>
        <w:ind w:firstLine="562" w:firstLineChars="200"/>
        <w:jc w:val="center"/>
        <w:rPr>
          <w:color w:val="auto"/>
          <w:sz w:val="28"/>
          <w:szCs w:val="28"/>
          <w:highlight w:val="none"/>
        </w:rPr>
      </w:pPr>
      <w:bookmarkStart w:id="5" w:name="_Toc11776"/>
      <w:bookmarkStart w:id="6" w:name="_Toc6968687"/>
      <w:bookmarkStart w:id="7" w:name="_Toc12804"/>
      <w:bookmarkStart w:id="8" w:name="_Toc466786434"/>
      <w:bookmarkStart w:id="9" w:name="_Toc7897861"/>
      <w:bookmarkStart w:id="10" w:name="_Toc507407359"/>
      <w:bookmarkStart w:id="11" w:name="_Toc6882675"/>
      <w:bookmarkStart w:id="12" w:name="_Toc102277756"/>
      <w:r>
        <w:rPr>
          <w:rFonts w:hint="eastAsia"/>
          <w:color w:val="auto"/>
          <w:sz w:val="28"/>
          <w:szCs w:val="28"/>
          <w:highlight w:val="none"/>
        </w:rPr>
        <w:t>一、说  明</w:t>
      </w:r>
      <w:bookmarkEnd w:id="5"/>
      <w:bookmarkEnd w:id="6"/>
      <w:bookmarkEnd w:id="7"/>
      <w:bookmarkEnd w:id="8"/>
      <w:bookmarkEnd w:id="9"/>
      <w:bookmarkEnd w:id="10"/>
      <w:bookmarkEnd w:id="11"/>
      <w:bookmarkEnd w:id="12"/>
    </w:p>
    <w:p>
      <w:pPr>
        <w:pStyle w:val="6"/>
        <w:adjustRightInd/>
        <w:spacing w:line="360" w:lineRule="auto"/>
        <w:ind w:firstLine="420" w:firstLineChars="200"/>
        <w:rPr>
          <w:rFonts w:hAnsi="宋体"/>
          <w:color w:val="auto"/>
          <w:sz w:val="21"/>
          <w:szCs w:val="21"/>
          <w:highlight w:val="none"/>
        </w:rPr>
      </w:pPr>
      <w:bookmarkStart w:id="13" w:name="_Toc7897862"/>
      <w:bookmarkStart w:id="14" w:name="_Toc8384"/>
      <w:bookmarkStart w:id="15" w:name="_Toc3730"/>
      <w:bookmarkStart w:id="16" w:name="_Toc475249114"/>
      <w:bookmarkStart w:id="17" w:name="_Toc24987"/>
      <w:r>
        <w:rPr>
          <w:rFonts w:hint="eastAsia" w:hAnsi="宋体"/>
          <w:color w:val="auto"/>
          <w:sz w:val="21"/>
          <w:szCs w:val="21"/>
          <w:highlight w:val="none"/>
        </w:rPr>
        <w:t>1.适用范围</w:t>
      </w:r>
      <w:bookmarkEnd w:id="13"/>
      <w:bookmarkEnd w:id="14"/>
      <w:bookmarkEnd w:id="15"/>
      <w:bookmarkEnd w:id="16"/>
      <w:bookmarkEnd w:id="17"/>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18" w:name="_Toc9738"/>
      <w:bookmarkStart w:id="19" w:name="_Toc19416"/>
      <w:bookmarkStart w:id="20" w:name="_Toc475249115"/>
      <w:bookmarkStart w:id="21" w:name="_Toc7897863"/>
      <w:bookmarkStart w:id="22" w:name="_Toc598"/>
      <w:r>
        <w:rPr>
          <w:rFonts w:hint="eastAsia" w:hAnsi="宋体"/>
          <w:color w:val="auto"/>
          <w:sz w:val="21"/>
          <w:szCs w:val="21"/>
          <w:highlight w:val="none"/>
        </w:rPr>
        <w:t>2.定义</w:t>
      </w:r>
      <w:bookmarkEnd w:id="18"/>
      <w:bookmarkEnd w:id="19"/>
      <w:bookmarkEnd w:id="20"/>
      <w:bookmarkEnd w:id="21"/>
      <w:bookmarkEnd w:id="2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23" w:name="_Toc7897864"/>
      <w:bookmarkStart w:id="24" w:name="_Toc11645"/>
      <w:bookmarkStart w:id="25" w:name="_Toc110953831"/>
      <w:bookmarkStart w:id="26" w:name="_Toc24709"/>
      <w:bookmarkStart w:id="27" w:name="_Toc367"/>
      <w:bookmarkStart w:id="28" w:name="_Toc6882676"/>
      <w:bookmarkStart w:id="29" w:name="_Toc6968688"/>
      <w:bookmarkStart w:id="30" w:name="_Toc466786435"/>
      <w:bookmarkStart w:id="31" w:name="_Toc102277757"/>
      <w:bookmarkStart w:id="32" w:name="_Toc507407360"/>
      <w:r>
        <w:rPr>
          <w:rFonts w:hint="eastAsia" w:hAnsi="宋体"/>
          <w:color w:val="auto"/>
          <w:sz w:val="21"/>
          <w:szCs w:val="21"/>
          <w:highlight w:val="none"/>
        </w:rPr>
        <w:t>3.适用法律</w:t>
      </w:r>
      <w:bookmarkEnd w:id="23"/>
      <w:bookmarkEnd w:id="24"/>
      <w:bookmarkEnd w:id="25"/>
      <w:bookmarkEnd w:id="26"/>
      <w:bookmarkEnd w:id="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6"/>
        <w:adjustRightInd/>
        <w:spacing w:line="360" w:lineRule="auto"/>
        <w:ind w:firstLine="420" w:firstLineChars="200"/>
        <w:rPr>
          <w:rFonts w:hAnsi="宋体"/>
          <w:color w:val="auto"/>
          <w:sz w:val="21"/>
          <w:szCs w:val="21"/>
          <w:highlight w:val="none"/>
          <w:lang w:val="zh-CN"/>
        </w:rPr>
      </w:pPr>
      <w:bookmarkStart w:id="33" w:name="_Toc22776"/>
      <w:bookmarkStart w:id="34" w:name="_Toc20707"/>
      <w:bookmarkStart w:id="35" w:name="_Toc110953833"/>
      <w:bookmarkStart w:id="36" w:name="_Toc7897866"/>
      <w:bookmarkStart w:id="37"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3"/>
      <w:bookmarkEnd w:id="34"/>
    </w:p>
    <w:p>
      <w:pPr>
        <w:pStyle w:val="6"/>
        <w:adjustRightInd/>
        <w:spacing w:line="360" w:lineRule="auto"/>
        <w:ind w:firstLine="420" w:firstLineChars="200"/>
        <w:rPr>
          <w:rFonts w:hAnsi="宋体"/>
          <w:bCs/>
          <w:color w:val="auto"/>
          <w:sz w:val="21"/>
          <w:szCs w:val="21"/>
          <w:highlight w:val="none"/>
        </w:rPr>
      </w:pPr>
      <w:bookmarkStart w:id="38" w:name="_Toc10368"/>
      <w:bookmarkStart w:id="39" w:name="_Toc14775"/>
      <w:r>
        <w:rPr>
          <w:rFonts w:hint="eastAsia" w:hAnsi="宋体"/>
          <w:color w:val="auto"/>
          <w:sz w:val="21"/>
          <w:szCs w:val="21"/>
          <w:highlight w:val="none"/>
        </w:rPr>
        <w:t>5.禁止事项</w:t>
      </w:r>
      <w:bookmarkEnd w:id="35"/>
      <w:bookmarkEnd w:id="36"/>
      <w:bookmarkEnd w:id="37"/>
      <w:bookmarkEnd w:id="38"/>
      <w:bookmarkEnd w:id="39"/>
    </w:p>
    <w:p>
      <w:pPr>
        <w:spacing w:line="360" w:lineRule="auto"/>
        <w:ind w:firstLine="420" w:firstLineChars="200"/>
        <w:rPr>
          <w:rFonts w:hAnsi="宋体"/>
          <w:color w:val="auto"/>
          <w:sz w:val="21"/>
          <w:szCs w:val="21"/>
          <w:highlight w:val="none"/>
        </w:rPr>
      </w:pPr>
      <w:bookmarkStart w:id="40" w:name="_Toc98126293"/>
      <w:bookmarkStart w:id="41"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0"/>
      <w:bookmarkEnd w:id="41"/>
    </w:p>
    <w:p>
      <w:pPr>
        <w:spacing w:line="360" w:lineRule="auto"/>
        <w:ind w:firstLine="420" w:firstLineChars="200"/>
        <w:rPr>
          <w:rFonts w:hAnsi="宋体"/>
          <w:color w:val="auto"/>
          <w:sz w:val="21"/>
          <w:szCs w:val="21"/>
          <w:highlight w:val="none"/>
        </w:rPr>
      </w:pPr>
      <w:bookmarkStart w:id="42" w:name="_Toc98126219"/>
      <w:bookmarkStart w:id="43" w:name="_Toc98126294"/>
      <w:r>
        <w:rPr>
          <w:rFonts w:hint="eastAsia" w:hAnsi="宋体"/>
          <w:color w:val="auto"/>
          <w:sz w:val="21"/>
          <w:szCs w:val="21"/>
          <w:highlight w:val="none"/>
        </w:rPr>
        <w:t>5.3采购代理机构不得向采购人行贿或者采取其他不正当手段谋取非法利益。</w:t>
      </w:r>
      <w:bookmarkEnd w:id="42"/>
      <w:bookmarkEnd w:id="43"/>
    </w:p>
    <w:p>
      <w:pPr>
        <w:spacing w:line="360" w:lineRule="auto"/>
        <w:ind w:firstLine="420" w:firstLineChars="200"/>
        <w:rPr>
          <w:rFonts w:hAnsi="宋体"/>
          <w:color w:val="auto"/>
          <w:sz w:val="21"/>
          <w:szCs w:val="21"/>
          <w:highlight w:val="none"/>
        </w:rPr>
      </w:pPr>
      <w:bookmarkStart w:id="44" w:name="_Toc98126220"/>
      <w:bookmarkStart w:id="45"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4"/>
      <w:bookmarkEnd w:id="45"/>
    </w:p>
    <w:p>
      <w:pPr>
        <w:pStyle w:val="6"/>
        <w:adjustRightInd/>
        <w:spacing w:line="360" w:lineRule="auto"/>
        <w:ind w:firstLine="420" w:firstLineChars="200"/>
        <w:rPr>
          <w:rFonts w:hAnsi="宋体"/>
          <w:bCs/>
          <w:color w:val="auto"/>
          <w:sz w:val="21"/>
          <w:szCs w:val="21"/>
          <w:highlight w:val="none"/>
        </w:rPr>
      </w:pPr>
      <w:bookmarkStart w:id="46" w:name="_Toc25870"/>
      <w:bookmarkStart w:id="47" w:name="_Toc12440"/>
      <w:bookmarkStart w:id="48" w:name="_Toc110953834"/>
      <w:bookmarkStart w:id="49" w:name="_Toc7897867"/>
      <w:bookmarkStart w:id="50" w:name="_Toc2863"/>
      <w:r>
        <w:rPr>
          <w:rFonts w:hint="eastAsia" w:hAnsi="宋体"/>
          <w:color w:val="auto"/>
          <w:sz w:val="21"/>
          <w:szCs w:val="21"/>
          <w:highlight w:val="none"/>
        </w:rPr>
        <w:t>6.保密及其它注意事项</w:t>
      </w:r>
      <w:bookmarkEnd w:id="46"/>
      <w:bookmarkEnd w:id="47"/>
      <w:bookmarkEnd w:id="48"/>
      <w:bookmarkEnd w:id="49"/>
      <w:bookmarkEnd w:id="50"/>
    </w:p>
    <w:p>
      <w:pPr>
        <w:spacing w:line="360" w:lineRule="auto"/>
        <w:ind w:firstLine="420" w:firstLineChars="200"/>
        <w:rPr>
          <w:rFonts w:hAnsi="宋体"/>
          <w:color w:val="auto"/>
          <w:sz w:val="21"/>
          <w:szCs w:val="21"/>
          <w:highlight w:val="none"/>
        </w:rPr>
      </w:pPr>
      <w:bookmarkStart w:id="51" w:name="_Toc98126222"/>
      <w:bookmarkStart w:id="52"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51"/>
      <w:bookmarkEnd w:id="5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53" w:name="_Toc27298"/>
      <w:bookmarkStart w:id="54" w:name="_Toc30861"/>
      <w:bookmarkStart w:id="55" w:name="_Toc13371"/>
      <w:bookmarkStart w:id="56" w:name="_Toc7897868"/>
      <w:bookmarkStart w:id="57" w:name="_Toc497016085"/>
      <w:r>
        <w:rPr>
          <w:rFonts w:hint="eastAsia" w:hAnsi="宋体"/>
          <w:color w:val="auto"/>
          <w:sz w:val="21"/>
          <w:szCs w:val="21"/>
          <w:highlight w:val="none"/>
        </w:rPr>
        <w:t>7.供应商诚信管理</w:t>
      </w:r>
      <w:bookmarkEnd w:id="53"/>
      <w:bookmarkEnd w:id="54"/>
      <w:bookmarkEnd w:id="55"/>
      <w:bookmarkEnd w:id="56"/>
      <w:bookmarkEnd w:id="5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58" w:name="_Toc23741"/>
      <w:bookmarkStart w:id="59" w:name="_Toc7897869"/>
      <w:bookmarkStart w:id="60" w:name="_Toc29459"/>
      <w:r>
        <w:rPr>
          <w:rFonts w:hint="eastAsia"/>
          <w:color w:val="auto"/>
          <w:sz w:val="28"/>
          <w:szCs w:val="28"/>
          <w:highlight w:val="none"/>
        </w:rPr>
        <w:t>二、磋商文件说明</w:t>
      </w:r>
      <w:bookmarkEnd w:id="28"/>
      <w:bookmarkEnd w:id="29"/>
      <w:bookmarkEnd w:id="30"/>
      <w:bookmarkEnd w:id="31"/>
      <w:bookmarkEnd w:id="32"/>
      <w:bookmarkEnd w:id="58"/>
      <w:bookmarkEnd w:id="59"/>
      <w:bookmarkEnd w:id="60"/>
    </w:p>
    <w:p>
      <w:pPr>
        <w:pStyle w:val="6"/>
        <w:adjustRightInd/>
        <w:spacing w:line="360" w:lineRule="auto"/>
        <w:ind w:firstLine="420" w:firstLineChars="200"/>
        <w:rPr>
          <w:rFonts w:hAnsi="宋体"/>
          <w:color w:val="auto"/>
          <w:sz w:val="21"/>
          <w:szCs w:val="21"/>
          <w:highlight w:val="none"/>
        </w:rPr>
      </w:pPr>
      <w:bookmarkStart w:id="61" w:name="_Toc110953836"/>
      <w:bookmarkStart w:id="62" w:name="_Toc23606"/>
      <w:bookmarkStart w:id="63" w:name="_Toc29560"/>
      <w:bookmarkStart w:id="64" w:name="_Toc7897870"/>
      <w:bookmarkStart w:id="65" w:name="_Toc17341"/>
      <w:bookmarkStart w:id="66" w:name="_Toc466786436"/>
      <w:bookmarkStart w:id="67" w:name="_Toc6968689"/>
      <w:bookmarkStart w:id="68" w:name="_Toc102277758"/>
      <w:bookmarkStart w:id="69" w:name="_Toc6882677"/>
      <w:bookmarkStart w:id="70" w:name="_Toc507407361"/>
      <w:r>
        <w:rPr>
          <w:rFonts w:hint="eastAsia" w:hAnsi="宋体"/>
          <w:color w:val="auto"/>
          <w:sz w:val="21"/>
          <w:szCs w:val="21"/>
          <w:highlight w:val="none"/>
        </w:rPr>
        <w:t>8.磋商文件构成</w:t>
      </w:r>
      <w:bookmarkEnd w:id="61"/>
      <w:bookmarkEnd w:id="62"/>
      <w:bookmarkEnd w:id="63"/>
      <w:bookmarkEnd w:id="64"/>
      <w:bookmarkEnd w:id="6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71" w:name="_Toc7897871"/>
      <w:bookmarkStart w:id="72" w:name="_Toc10943"/>
      <w:bookmarkStart w:id="73" w:name="_Toc19701"/>
      <w:bookmarkStart w:id="74" w:name="_Toc110953837"/>
      <w:bookmarkStart w:id="75" w:name="_Toc16827"/>
      <w:r>
        <w:rPr>
          <w:rFonts w:hint="eastAsia" w:hAnsi="宋体"/>
          <w:color w:val="auto"/>
          <w:sz w:val="21"/>
          <w:szCs w:val="21"/>
          <w:highlight w:val="none"/>
        </w:rPr>
        <w:t>9.磋商文件的修改</w:t>
      </w:r>
      <w:bookmarkEnd w:id="71"/>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66"/>
    <w:bookmarkEnd w:id="67"/>
    <w:bookmarkEnd w:id="68"/>
    <w:bookmarkEnd w:id="69"/>
    <w:bookmarkEnd w:id="70"/>
    <w:p>
      <w:pPr>
        <w:pStyle w:val="5"/>
        <w:adjustRightInd/>
        <w:spacing w:line="360" w:lineRule="auto"/>
        <w:ind w:firstLine="562" w:firstLineChars="200"/>
        <w:jc w:val="center"/>
        <w:rPr>
          <w:color w:val="auto"/>
          <w:sz w:val="28"/>
          <w:szCs w:val="28"/>
          <w:highlight w:val="none"/>
        </w:rPr>
      </w:pPr>
      <w:bookmarkStart w:id="76" w:name="_Toc23976"/>
      <w:bookmarkStart w:id="77" w:name="_Toc15398"/>
      <w:bookmarkStart w:id="78" w:name="_Toc110953838"/>
      <w:bookmarkStart w:id="79" w:name="_Toc7897872"/>
      <w:bookmarkStart w:id="80" w:name="_Toc102277759"/>
      <w:bookmarkStart w:id="81" w:name="_Toc6882678"/>
      <w:bookmarkStart w:id="82" w:name="_Toc466786437"/>
      <w:bookmarkStart w:id="83" w:name="_Toc507407362"/>
      <w:bookmarkStart w:id="84" w:name="_Toc6968690"/>
      <w:r>
        <w:rPr>
          <w:rFonts w:hint="eastAsia"/>
          <w:color w:val="auto"/>
          <w:sz w:val="28"/>
          <w:szCs w:val="28"/>
          <w:highlight w:val="none"/>
        </w:rPr>
        <w:t>三、响应文件的制作</w:t>
      </w:r>
      <w:bookmarkEnd w:id="76"/>
      <w:bookmarkEnd w:id="77"/>
      <w:bookmarkEnd w:id="78"/>
      <w:bookmarkEnd w:id="79"/>
    </w:p>
    <w:p>
      <w:pPr>
        <w:pStyle w:val="6"/>
        <w:adjustRightInd/>
        <w:spacing w:line="360" w:lineRule="auto"/>
        <w:ind w:firstLine="420" w:firstLineChars="200"/>
        <w:rPr>
          <w:rFonts w:hAnsi="宋体"/>
          <w:color w:val="auto"/>
          <w:sz w:val="21"/>
          <w:szCs w:val="21"/>
          <w:highlight w:val="none"/>
        </w:rPr>
      </w:pPr>
      <w:bookmarkStart w:id="85" w:name="_Toc29773"/>
      <w:bookmarkStart w:id="86" w:name="_Toc110953839"/>
      <w:bookmarkStart w:id="87" w:name="_Toc15756"/>
      <w:bookmarkStart w:id="88" w:name="_Toc23789"/>
      <w:bookmarkStart w:id="89" w:name="_Toc7897873"/>
      <w:r>
        <w:rPr>
          <w:rFonts w:hint="eastAsia" w:hAnsi="宋体"/>
          <w:color w:val="auto"/>
          <w:sz w:val="21"/>
          <w:szCs w:val="21"/>
          <w:highlight w:val="none"/>
        </w:rPr>
        <w:t>10.制作要求</w:t>
      </w:r>
      <w:bookmarkEnd w:id="85"/>
      <w:bookmarkEnd w:id="86"/>
      <w:bookmarkEnd w:id="87"/>
      <w:bookmarkEnd w:id="88"/>
      <w:bookmarkEnd w:id="8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90" w:name="_Toc18079"/>
      <w:bookmarkStart w:id="91" w:name="_Toc110953840"/>
      <w:bookmarkStart w:id="92" w:name="_Toc20552"/>
      <w:bookmarkStart w:id="93" w:name="_Toc7897874"/>
      <w:bookmarkStart w:id="94" w:name="_Toc11441"/>
      <w:r>
        <w:rPr>
          <w:rFonts w:hint="eastAsia" w:hAnsi="宋体"/>
          <w:color w:val="auto"/>
          <w:sz w:val="21"/>
          <w:szCs w:val="21"/>
          <w:highlight w:val="none"/>
        </w:rPr>
        <w:t>11.响应文件的内容</w:t>
      </w:r>
      <w:bookmarkEnd w:id="90"/>
      <w:bookmarkEnd w:id="91"/>
      <w:bookmarkEnd w:id="92"/>
      <w:bookmarkEnd w:id="93"/>
      <w:bookmarkEnd w:id="9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95" w:name="_Toc12099"/>
      <w:bookmarkStart w:id="96" w:name="_Toc7897875"/>
      <w:bookmarkStart w:id="97" w:name="_Toc110953841"/>
      <w:bookmarkStart w:id="98" w:name="_Toc9150"/>
      <w:bookmarkStart w:id="99" w:name="_Toc21763"/>
      <w:r>
        <w:rPr>
          <w:rFonts w:hint="eastAsia" w:hAnsi="宋体"/>
          <w:color w:val="auto"/>
          <w:sz w:val="21"/>
          <w:szCs w:val="21"/>
          <w:highlight w:val="none"/>
        </w:rPr>
        <w:t>12.响应文件格式</w:t>
      </w:r>
      <w:bookmarkEnd w:id="95"/>
      <w:bookmarkEnd w:id="96"/>
      <w:bookmarkEnd w:id="97"/>
      <w:bookmarkEnd w:id="98"/>
      <w:bookmarkEnd w:id="9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100" w:name="_Toc185150707"/>
      <w:bookmarkStart w:id="101" w:name="_Toc7897876"/>
      <w:bookmarkStart w:id="102" w:name="_Toc30889"/>
      <w:bookmarkStart w:id="103" w:name="_Toc575"/>
      <w:bookmarkStart w:id="104" w:name="_Toc24570"/>
      <w:r>
        <w:rPr>
          <w:rFonts w:hint="eastAsia" w:hAnsi="宋体"/>
          <w:color w:val="auto"/>
          <w:sz w:val="21"/>
          <w:szCs w:val="21"/>
          <w:highlight w:val="none"/>
        </w:rPr>
        <w:t>13.</w:t>
      </w:r>
      <w:bookmarkEnd w:id="100"/>
      <w:r>
        <w:rPr>
          <w:rFonts w:hint="eastAsia" w:hAnsi="宋体"/>
          <w:color w:val="auto"/>
          <w:sz w:val="21"/>
          <w:szCs w:val="21"/>
          <w:highlight w:val="none"/>
        </w:rPr>
        <w:t>磋商保证金</w:t>
      </w:r>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8"/>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608"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200"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08"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松山湖大学创新城创投大厦A、B塔配套服务用房完善项目</w:t>
            </w:r>
          </w:p>
        </w:tc>
        <w:tc>
          <w:tcPr>
            <w:tcW w:w="3200" w:type="dxa"/>
            <w:vAlign w:val="center"/>
          </w:tcPr>
          <w:p>
            <w:pPr>
              <w:widowControl/>
              <w:jc w:val="center"/>
              <w:rPr>
                <w:rFonts w:hAnsi="宋体"/>
                <w:color w:val="auto"/>
                <w:sz w:val="21"/>
                <w:szCs w:val="21"/>
                <w:highlight w:val="none"/>
              </w:rPr>
            </w:pPr>
            <w:r>
              <w:rPr>
                <w:rFonts w:hint="eastAsia" w:hAnsi="宋体"/>
                <w:color w:val="auto"/>
                <w:sz w:val="21"/>
                <w:szCs w:val="21"/>
                <w:highlight w:val="none"/>
              </w:rPr>
              <w:t>人民币柒仟贰佰伍拾柒元整（7</w:t>
            </w:r>
            <w:r>
              <w:rPr>
                <w:rFonts w:hint="eastAsia" w:hAnsi="宋体"/>
                <w:color w:val="auto"/>
                <w:sz w:val="21"/>
                <w:szCs w:val="21"/>
                <w:highlight w:val="none"/>
                <w:lang w:val="en-US" w:eastAsia="zh-CN"/>
              </w:rPr>
              <w:t>,</w:t>
            </w:r>
            <w:r>
              <w:rPr>
                <w:rFonts w:hint="eastAsia" w:hAnsi="宋体"/>
                <w:color w:val="auto"/>
                <w:sz w:val="21"/>
                <w:szCs w:val="21"/>
                <w:highlight w:val="none"/>
              </w:rPr>
              <w:t>257.00元）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磋商保证金必须在磋商响应文件递交截止前到账，磋商保证金未按规定时间到达指定账户或提交金额不足的，将被视为无效磋商。且在备注或用途中注明本项目的项目编号。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号：6232590699050045382</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105" w:name="_Toc468157537"/>
      <w:bookmarkStart w:id="106" w:name="_Toc467987824"/>
      <w:bookmarkStart w:id="107" w:name="_Toc32304"/>
      <w:bookmarkStart w:id="108" w:name="_Toc468606030"/>
      <w:bookmarkStart w:id="109" w:name="_Toc480010709"/>
      <w:bookmarkStart w:id="110" w:name="_Toc458262615"/>
      <w:bookmarkStart w:id="111" w:name="_Toc7897877"/>
      <w:bookmarkStart w:id="112" w:name="_Toc454701382"/>
      <w:bookmarkStart w:id="113" w:name="_Toc110953842"/>
      <w:bookmarkStart w:id="114" w:name="_Toc467236741"/>
      <w:bookmarkStart w:id="115" w:name="_Toc479991583"/>
      <w:bookmarkStart w:id="116" w:name="_Toc2525"/>
      <w:bookmarkStart w:id="117" w:name="_Toc480020258"/>
      <w:bookmarkStart w:id="118" w:name="_Toc8032"/>
      <w:bookmarkStart w:id="119" w:name="_Toc480171880"/>
      <w:bookmarkStart w:id="120" w:name="_Toc480021054"/>
      <w:bookmarkStart w:id="121" w:name="_Toc503758471"/>
      <w:r>
        <w:rPr>
          <w:rFonts w:hint="eastAsia" w:hAnsi="宋体"/>
          <w:color w:val="auto"/>
          <w:sz w:val="21"/>
          <w:szCs w:val="21"/>
          <w:highlight w:val="none"/>
        </w:rPr>
        <w:t>14.响应有效期</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80"/>
    <w:bookmarkEnd w:id="81"/>
    <w:bookmarkEnd w:id="82"/>
    <w:bookmarkEnd w:id="83"/>
    <w:bookmarkEnd w:id="84"/>
    <w:p>
      <w:pPr>
        <w:pStyle w:val="5"/>
        <w:adjustRightInd/>
        <w:spacing w:line="360" w:lineRule="auto"/>
        <w:ind w:firstLine="562" w:firstLineChars="200"/>
        <w:jc w:val="center"/>
        <w:rPr>
          <w:color w:val="auto"/>
          <w:sz w:val="28"/>
          <w:szCs w:val="28"/>
          <w:highlight w:val="none"/>
        </w:rPr>
      </w:pPr>
      <w:bookmarkStart w:id="122" w:name="_Toc17761"/>
      <w:bookmarkStart w:id="123" w:name="_Toc110953843"/>
      <w:bookmarkStart w:id="124" w:name="_Toc21295"/>
      <w:bookmarkStart w:id="125" w:name="_Toc7897878"/>
      <w:bookmarkStart w:id="126" w:name="_Toc6968691"/>
      <w:bookmarkStart w:id="127" w:name="_Toc6882679"/>
      <w:bookmarkStart w:id="128" w:name="_Toc507407363"/>
      <w:bookmarkStart w:id="129" w:name="_Toc102277760"/>
      <w:bookmarkStart w:id="130" w:name="_Toc466786438"/>
      <w:r>
        <w:rPr>
          <w:rFonts w:hint="eastAsia"/>
          <w:color w:val="auto"/>
          <w:sz w:val="28"/>
          <w:szCs w:val="28"/>
          <w:highlight w:val="none"/>
        </w:rPr>
        <w:t>四、响应文件的递交</w:t>
      </w:r>
      <w:bookmarkEnd w:id="122"/>
      <w:bookmarkEnd w:id="123"/>
      <w:bookmarkEnd w:id="124"/>
      <w:bookmarkEnd w:id="125"/>
    </w:p>
    <w:p>
      <w:pPr>
        <w:pStyle w:val="6"/>
        <w:adjustRightInd/>
        <w:spacing w:line="360" w:lineRule="auto"/>
        <w:ind w:firstLine="420" w:firstLineChars="200"/>
        <w:rPr>
          <w:rFonts w:hAnsi="宋体"/>
          <w:color w:val="auto"/>
          <w:sz w:val="21"/>
          <w:szCs w:val="21"/>
          <w:highlight w:val="none"/>
        </w:rPr>
      </w:pPr>
      <w:bookmarkStart w:id="131" w:name="_Toc28123"/>
      <w:bookmarkStart w:id="132" w:name="_Toc11500"/>
      <w:bookmarkStart w:id="133" w:name="_Toc7897879"/>
      <w:bookmarkStart w:id="134" w:name="_Toc2684"/>
      <w:bookmarkStart w:id="135" w:name="_Toc110953844"/>
      <w:r>
        <w:rPr>
          <w:rFonts w:hint="eastAsia" w:hAnsi="宋体"/>
          <w:color w:val="auto"/>
          <w:sz w:val="21"/>
          <w:szCs w:val="21"/>
          <w:highlight w:val="none"/>
        </w:rPr>
        <w:t>15.响应文件的密封和标记</w:t>
      </w:r>
      <w:bookmarkEnd w:id="131"/>
      <w:bookmarkEnd w:id="132"/>
      <w:bookmarkEnd w:id="133"/>
      <w:bookmarkEnd w:id="134"/>
      <w:bookmarkEnd w:id="13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36" w:name="_Toc12710"/>
      <w:bookmarkStart w:id="137" w:name="_Toc13436"/>
      <w:bookmarkStart w:id="138" w:name="_Toc10017"/>
      <w:bookmarkStart w:id="139" w:name="_Toc7897880"/>
      <w:bookmarkStart w:id="140" w:name="_Toc110953845"/>
      <w:r>
        <w:rPr>
          <w:rFonts w:hint="eastAsia" w:hAnsi="宋体"/>
          <w:color w:val="auto"/>
          <w:sz w:val="21"/>
          <w:szCs w:val="21"/>
          <w:highlight w:val="none"/>
        </w:rPr>
        <w:t>16.响应文件的递交</w:t>
      </w:r>
      <w:bookmarkEnd w:id="136"/>
      <w:bookmarkEnd w:id="137"/>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41" w:name="_Toc7897881"/>
      <w:bookmarkStart w:id="142" w:name="_Toc12765"/>
      <w:bookmarkStart w:id="143" w:name="_Toc22874"/>
      <w:r>
        <w:rPr>
          <w:rFonts w:hint="eastAsia"/>
          <w:color w:val="auto"/>
          <w:sz w:val="28"/>
          <w:szCs w:val="28"/>
          <w:highlight w:val="none"/>
        </w:rPr>
        <w:t>五、采购仪式和</w:t>
      </w:r>
      <w:bookmarkEnd w:id="126"/>
      <w:bookmarkEnd w:id="127"/>
      <w:bookmarkEnd w:id="128"/>
      <w:bookmarkEnd w:id="129"/>
      <w:bookmarkEnd w:id="130"/>
      <w:r>
        <w:rPr>
          <w:rFonts w:hint="eastAsia"/>
          <w:color w:val="auto"/>
          <w:sz w:val="28"/>
          <w:szCs w:val="28"/>
          <w:highlight w:val="none"/>
        </w:rPr>
        <w:t>评审会议</w:t>
      </w:r>
      <w:bookmarkEnd w:id="141"/>
      <w:bookmarkEnd w:id="142"/>
      <w:bookmarkEnd w:id="143"/>
    </w:p>
    <w:p>
      <w:pPr>
        <w:pStyle w:val="6"/>
        <w:adjustRightInd/>
        <w:spacing w:line="360" w:lineRule="auto"/>
        <w:ind w:firstLine="422" w:firstLineChars="200"/>
        <w:rPr>
          <w:rFonts w:hAnsi="宋体"/>
          <w:b/>
          <w:color w:val="auto"/>
          <w:sz w:val="21"/>
          <w:szCs w:val="21"/>
          <w:highlight w:val="none"/>
        </w:rPr>
      </w:pPr>
      <w:bookmarkStart w:id="144" w:name="_Toc475249134"/>
      <w:bookmarkStart w:id="145" w:name="_Toc18010"/>
      <w:r>
        <w:rPr>
          <w:rFonts w:hint="eastAsia" w:hAnsi="宋体"/>
          <w:b/>
          <w:color w:val="auto"/>
          <w:sz w:val="21"/>
          <w:szCs w:val="21"/>
          <w:highlight w:val="none"/>
        </w:rPr>
        <w:t>17.</w:t>
      </w:r>
      <w:bookmarkEnd w:id="144"/>
      <w:r>
        <w:rPr>
          <w:rFonts w:hint="eastAsia" w:hAnsi="宋体"/>
          <w:b/>
          <w:color w:val="auto"/>
          <w:sz w:val="21"/>
          <w:szCs w:val="21"/>
          <w:highlight w:val="none"/>
        </w:rPr>
        <w:t>开启响应文件</w:t>
      </w:r>
      <w:bookmarkEnd w:id="145"/>
    </w:p>
    <w:p>
      <w:pPr>
        <w:spacing w:line="360" w:lineRule="auto"/>
        <w:ind w:firstLine="420" w:firstLineChars="200"/>
        <w:rPr>
          <w:rFonts w:hAnsi="宋体"/>
          <w:color w:val="auto"/>
          <w:sz w:val="21"/>
          <w:szCs w:val="21"/>
          <w:highlight w:val="none"/>
        </w:rPr>
      </w:pPr>
      <w:bookmarkStart w:id="146" w:name="_Toc475249135"/>
      <w:bookmarkStart w:id="147"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bookmarkStart w:id="148" w:name="_Toc8627"/>
      <w:r>
        <w:rPr>
          <w:rFonts w:hint="eastAsia" w:hAnsi="宋体"/>
          <w:b/>
          <w:color w:val="auto"/>
          <w:sz w:val="21"/>
          <w:szCs w:val="21"/>
          <w:highlight w:val="none"/>
        </w:rPr>
        <w:t>18.磋商小组</w:t>
      </w:r>
      <w:bookmarkEnd w:id="146"/>
      <w:bookmarkEnd w:id="14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49" w:name="_Toc535141844"/>
      <w:bookmarkStart w:id="150" w:name="_Toc37121259"/>
      <w:bookmarkStart w:id="151" w:name="_Toc23164"/>
      <w:r>
        <w:rPr>
          <w:rFonts w:hint="eastAsia" w:hAnsi="宋体"/>
          <w:b/>
          <w:color w:val="auto"/>
          <w:sz w:val="21"/>
          <w:szCs w:val="21"/>
          <w:highlight w:val="none"/>
        </w:rPr>
        <w:t>19.对响应文件的初审</w:t>
      </w:r>
      <w:bookmarkEnd w:id="149"/>
      <w:bookmarkEnd w:id="150"/>
      <w:bookmarkEnd w:id="15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bookmarkStart w:id="152" w:name="_Toc13017"/>
      <w:r>
        <w:rPr>
          <w:rFonts w:hint="eastAsia" w:hAnsi="宋体"/>
          <w:b/>
          <w:color w:val="auto"/>
          <w:sz w:val="21"/>
          <w:szCs w:val="21"/>
          <w:highlight w:val="none"/>
        </w:rPr>
        <w:t>20.对响应文件的澄清</w:t>
      </w:r>
      <w:bookmarkEnd w:id="15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20.2响应文件内容表述不一致按照以下方法处理：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①</w:t>
      </w:r>
      <w:r>
        <w:rPr>
          <w:rFonts w:hint="eastAsia" w:hAnsi="宋体"/>
          <w:color w:val="auto"/>
          <w:sz w:val="21"/>
          <w:szCs w:val="21"/>
          <w:highlight w:val="none"/>
        </w:rPr>
        <w:t>响应文件中报价一览表内容与响应文件明细表内容不一致的，以报价一览表为准；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②</w:t>
      </w:r>
      <w:r>
        <w:rPr>
          <w:rFonts w:hint="eastAsia" w:hAnsi="宋体"/>
          <w:color w:val="auto"/>
          <w:sz w:val="21"/>
          <w:szCs w:val="21"/>
          <w:highlight w:val="none"/>
        </w:rPr>
        <w:t>响应文件的大写金额和小写金额不一致的，以大写金额为准；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③</w:t>
      </w:r>
      <w:r>
        <w:rPr>
          <w:rFonts w:hint="eastAsia" w:hAnsi="宋体"/>
          <w:color w:val="auto"/>
          <w:sz w:val="21"/>
          <w:szCs w:val="21"/>
          <w:highlight w:val="none"/>
        </w:rPr>
        <w:t>单价金额小数点</w:t>
      </w:r>
      <w:r>
        <w:rPr>
          <w:rFonts w:hint="eastAsia" w:hAnsi="宋体"/>
          <w:color w:val="auto"/>
          <w:sz w:val="21"/>
          <w:szCs w:val="21"/>
          <w:highlight w:val="none"/>
          <w:lang w:eastAsia="zh-CN"/>
        </w:rPr>
        <w:t>或者百分比</w:t>
      </w:r>
      <w:r>
        <w:rPr>
          <w:rFonts w:hint="eastAsia" w:hAnsi="宋体"/>
          <w:color w:val="auto"/>
          <w:sz w:val="21"/>
          <w:szCs w:val="21"/>
          <w:highlight w:val="none"/>
        </w:rPr>
        <w:t>有明显错位的，以报价一览表</w:t>
      </w:r>
      <w:r>
        <w:rPr>
          <w:rFonts w:hint="eastAsia" w:hAnsi="宋体"/>
          <w:color w:val="auto"/>
          <w:sz w:val="21"/>
          <w:szCs w:val="21"/>
          <w:highlight w:val="none"/>
          <w:lang w:eastAsia="zh-CN"/>
        </w:rPr>
        <w:t>的总价</w:t>
      </w:r>
      <w:r>
        <w:rPr>
          <w:rFonts w:hint="eastAsia" w:hAnsi="宋体"/>
          <w:color w:val="auto"/>
          <w:sz w:val="21"/>
          <w:szCs w:val="21"/>
          <w:highlight w:val="none"/>
        </w:rPr>
        <w:t>为准，并修改</w:t>
      </w:r>
      <w:r>
        <w:rPr>
          <w:rFonts w:hint="eastAsia" w:hAnsi="宋体"/>
          <w:color w:val="auto"/>
          <w:sz w:val="21"/>
          <w:szCs w:val="21"/>
          <w:highlight w:val="none"/>
          <w:lang w:eastAsia="zh-CN"/>
        </w:rPr>
        <w:t>单</w:t>
      </w:r>
      <w:r>
        <w:rPr>
          <w:rFonts w:hint="eastAsia" w:hAnsi="宋体"/>
          <w:color w:val="auto"/>
          <w:sz w:val="21"/>
          <w:szCs w:val="21"/>
          <w:highlight w:val="none"/>
        </w:rPr>
        <w:t>价；</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④</w:t>
      </w:r>
      <w:r>
        <w:rPr>
          <w:rFonts w:hint="eastAsia" w:hAnsi="宋体"/>
          <w:color w:val="auto"/>
          <w:sz w:val="21"/>
          <w:szCs w:val="21"/>
          <w:highlight w:val="none"/>
        </w:rPr>
        <w:t>总价金额与按单价汇总金额不一致的，以单价金额计算结果为准；</w:t>
      </w:r>
    </w:p>
    <w:p>
      <w:pPr>
        <w:spacing w:line="360" w:lineRule="auto"/>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⑤同时出现两种以上不一致的，按前款规定的顺序修正</w:t>
      </w:r>
      <w:r>
        <w:rPr>
          <w:rFonts w:hint="eastAsia" w:hAnsi="宋体"/>
          <w:color w:val="auto"/>
          <w:sz w:val="21"/>
          <w:szCs w:val="21"/>
          <w:highlight w:val="none"/>
        </w:rPr>
        <w:t>。</w:t>
      </w:r>
      <w:r>
        <w:rPr>
          <w:rFonts w:hint="eastAsia" w:hAnsi="宋体"/>
          <w:color w:val="auto"/>
          <w:sz w:val="21"/>
          <w:szCs w:val="21"/>
          <w:highlight w:val="none"/>
          <w:lang w:eastAsia="zh-CN"/>
        </w:rPr>
        <w:t>修正后的报价按照本篇</w:t>
      </w:r>
      <w:r>
        <w:rPr>
          <w:rFonts w:hint="eastAsia" w:hAnsi="宋体"/>
          <w:color w:val="auto"/>
          <w:sz w:val="21"/>
          <w:szCs w:val="21"/>
          <w:highlight w:val="none"/>
          <w:lang w:val="en-US" w:eastAsia="zh-CN"/>
        </w:rPr>
        <w:t>20.1的规定经供应商确认后产生约束力，供应商不确认的，其磋商无效。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bookmarkStart w:id="153" w:name="_Toc23140"/>
      <w:r>
        <w:rPr>
          <w:rFonts w:hint="eastAsia" w:hAnsi="宋体"/>
          <w:b/>
          <w:color w:val="auto"/>
          <w:sz w:val="21"/>
          <w:szCs w:val="21"/>
          <w:highlight w:val="none"/>
        </w:rPr>
        <w:t>21.开展磋商</w:t>
      </w:r>
      <w:bookmarkEnd w:id="15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bookmarkStart w:id="154" w:name="_Toc4299"/>
      <w:r>
        <w:rPr>
          <w:rFonts w:hint="eastAsia" w:hAnsi="宋体"/>
          <w:b/>
          <w:color w:val="auto"/>
          <w:sz w:val="21"/>
          <w:szCs w:val="21"/>
          <w:highlight w:val="none"/>
        </w:rPr>
        <w:t>22.最后报价</w:t>
      </w:r>
      <w:bookmarkEnd w:id="15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47"/>
    <w:p>
      <w:pPr>
        <w:pStyle w:val="6"/>
        <w:adjustRightInd/>
        <w:spacing w:line="360" w:lineRule="auto"/>
        <w:ind w:firstLine="422" w:firstLineChars="200"/>
        <w:rPr>
          <w:rFonts w:hAnsi="宋体"/>
          <w:b/>
          <w:color w:val="auto"/>
          <w:sz w:val="21"/>
          <w:szCs w:val="21"/>
          <w:highlight w:val="none"/>
        </w:rPr>
      </w:pPr>
      <w:bookmarkStart w:id="155" w:name="_Toc27056"/>
      <w:r>
        <w:rPr>
          <w:rFonts w:hint="eastAsia" w:hAnsi="宋体"/>
          <w:b/>
          <w:color w:val="auto"/>
          <w:sz w:val="21"/>
          <w:szCs w:val="21"/>
          <w:highlight w:val="none"/>
        </w:rPr>
        <w:t>23.综合评分</w:t>
      </w:r>
      <w:bookmarkEnd w:id="1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56" w:name="_Toc7897882"/>
      <w:bookmarkStart w:id="157" w:name="_Toc18625"/>
      <w:bookmarkStart w:id="158" w:name="_Toc8480"/>
      <w:r>
        <w:rPr>
          <w:rFonts w:hint="eastAsia"/>
          <w:color w:val="auto"/>
          <w:sz w:val="28"/>
          <w:szCs w:val="28"/>
          <w:highlight w:val="none"/>
        </w:rPr>
        <w:t>六、确定成交供应商</w:t>
      </w:r>
      <w:bookmarkEnd w:id="156"/>
      <w:bookmarkEnd w:id="157"/>
      <w:bookmarkEnd w:id="158"/>
    </w:p>
    <w:p>
      <w:pPr>
        <w:pStyle w:val="6"/>
        <w:adjustRightInd/>
        <w:spacing w:line="360" w:lineRule="auto"/>
        <w:ind w:firstLine="422" w:firstLineChars="200"/>
        <w:rPr>
          <w:rFonts w:hAnsi="宋体"/>
          <w:b/>
          <w:color w:val="auto"/>
          <w:sz w:val="21"/>
          <w:szCs w:val="21"/>
          <w:highlight w:val="none"/>
        </w:rPr>
      </w:pPr>
      <w:bookmarkStart w:id="159" w:name="_Toc20771"/>
      <w:r>
        <w:rPr>
          <w:rFonts w:hint="eastAsia" w:hAnsi="宋体"/>
          <w:b/>
          <w:color w:val="auto"/>
          <w:sz w:val="21"/>
          <w:szCs w:val="21"/>
          <w:highlight w:val="none"/>
        </w:rPr>
        <w:t>24.确定成交</w:t>
      </w:r>
      <w:bookmarkEnd w:id="1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bookmarkStart w:id="160" w:name="_Toc10261"/>
      <w:r>
        <w:rPr>
          <w:rFonts w:hint="eastAsia"/>
          <w:b/>
          <w:color w:val="auto"/>
          <w:sz w:val="21"/>
          <w:szCs w:val="21"/>
          <w:highlight w:val="none"/>
        </w:rPr>
        <w:t>25.资格后审</w:t>
      </w:r>
      <w:bookmarkEnd w:id="160"/>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61" w:name="_Toc475249142"/>
      <w:bookmarkStart w:id="162" w:name="_Toc28799"/>
      <w:r>
        <w:rPr>
          <w:rFonts w:hint="eastAsia" w:hAnsi="宋体"/>
          <w:b/>
          <w:color w:val="auto"/>
          <w:sz w:val="21"/>
          <w:szCs w:val="21"/>
          <w:highlight w:val="none"/>
        </w:rPr>
        <w:t>26.成交通知</w:t>
      </w:r>
      <w:bookmarkEnd w:id="161"/>
      <w:bookmarkEnd w:id="16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63" w:name="_Toc7897883"/>
      <w:bookmarkStart w:id="164" w:name="_Toc110953852"/>
      <w:bookmarkStart w:id="165" w:name="_Toc28276"/>
      <w:bookmarkStart w:id="166" w:name="_Toc37756778"/>
      <w:bookmarkStart w:id="167" w:name="_Toc26865"/>
      <w:bookmarkStart w:id="168" w:name="_Toc475249143"/>
      <w:r>
        <w:rPr>
          <w:rFonts w:hint="eastAsia"/>
          <w:color w:val="auto"/>
          <w:sz w:val="28"/>
          <w:szCs w:val="28"/>
          <w:highlight w:val="none"/>
        </w:rPr>
        <w:t>七、签订采购合同</w:t>
      </w:r>
      <w:bookmarkEnd w:id="163"/>
      <w:bookmarkEnd w:id="164"/>
      <w:bookmarkEnd w:id="165"/>
      <w:bookmarkEnd w:id="166"/>
      <w:bookmarkEnd w:id="16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68"/>
    <w:p>
      <w:pPr>
        <w:pStyle w:val="5"/>
        <w:adjustRightInd/>
        <w:spacing w:line="360" w:lineRule="auto"/>
        <w:ind w:firstLine="562" w:firstLineChars="200"/>
        <w:jc w:val="center"/>
        <w:rPr>
          <w:color w:val="auto"/>
          <w:sz w:val="21"/>
          <w:szCs w:val="21"/>
          <w:highlight w:val="none"/>
        </w:rPr>
      </w:pPr>
      <w:bookmarkStart w:id="169" w:name="_Toc7897884"/>
      <w:bookmarkStart w:id="170" w:name="_Toc7736"/>
      <w:bookmarkStart w:id="171" w:name="_Toc8766"/>
      <w:bookmarkStart w:id="172" w:name="_Toc5141"/>
      <w:bookmarkStart w:id="173" w:name="_Toc396137239"/>
      <w:bookmarkStart w:id="174" w:name="_Toc3498"/>
      <w:bookmarkStart w:id="175" w:name="_Toc396137240"/>
      <w:r>
        <w:rPr>
          <w:rFonts w:hint="eastAsia"/>
          <w:color w:val="auto"/>
          <w:sz w:val="28"/>
          <w:szCs w:val="28"/>
          <w:highlight w:val="none"/>
        </w:rPr>
        <w:t>八、成交服务费</w:t>
      </w:r>
      <w:bookmarkEnd w:id="169"/>
      <w:bookmarkEnd w:id="170"/>
      <w:bookmarkEnd w:id="171"/>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bookmarkStart w:id="176" w:name="_Toc10108"/>
      <w:r>
        <w:rPr>
          <w:rFonts w:hint="eastAsia"/>
          <w:color w:val="auto"/>
          <w:sz w:val="28"/>
          <w:szCs w:val="28"/>
          <w:highlight w:val="none"/>
          <w:lang w:val="zh-CN"/>
        </w:rPr>
        <w:t>九、质疑与回复</w:t>
      </w:r>
      <w:bookmarkEnd w:id="172"/>
      <w:bookmarkEnd w:id="173"/>
      <w:bookmarkEnd w:id="174"/>
      <w:bookmarkEnd w:id="1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77"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77"/>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78" w:name="_Toc16785"/>
      <w:r>
        <w:rPr>
          <w:rFonts w:hint="eastAsia" w:hAnsi="宋体"/>
          <w:b/>
          <w:bCs/>
          <w:color w:val="auto"/>
          <w:kern w:val="44"/>
          <w:sz w:val="28"/>
          <w:szCs w:val="28"/>
          <w:highlight w:val="none"/>
          <w:lang w:val="zh-CN"/>
        </w:rPr>
        <w:t>用户需求书</w:t>
      </w:r>
      <w:bookmarkEnd w:id="175"/>
      <w:bookmarkEnd w:id="178"/>
    </w:p>
    <w:p>
      <w:pPr>
        <w:pStyle w:val="4"/>
        <w:spacing w:line="360" w:lineRule="auto"/>
        <w:jc w:val="center"/>
        <w:rPr>
          <w:b/>
          <w:bCs/>
          <w:color w:val="auto"/>
          <w:sz w:val="28"/>
          <w:szCs w:val="28"/>
          <w:highlight w:val="none"/>
        </w:rPr>
      </w:pPr>
      <w:bookmarkStart w:id="179" w:name="_Toc32290"/>
      <w:r>
        <w:rPr>
          <w:rFonts w:hint="eastAsia"/>
          <w:b/>
          <w:bCs/>
          <w:color w:val="auto"/>
          <w:sz w:val="28"/>
          <w:szCs w:val="28"/>
          <w:highlight w:val="none"/>
        </w:rPr>
        <w:t>第一部分 商务需求书</w:t>
      </w:r>
      <w:bookmarkEnd w:id="179"/>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天（日历日）。</w:t>
            </w:r>
          </w:p>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应按采购人提供的工程量清单项目及工程量进行报价。</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pStyle w:val="144"/>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必须提供税率为9%的增值税专用发票。若有税率调整，按最新政策税率执行，结算时按不含税价*新税率调整。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7"/>
        <w:rPr>
          <w:rFonts w:hint="eastAsia"/>
          <w:color w:val="auto"/>
          <w:highlight w:val="none"/>
        </w:rPr>
      </w:pPr>
    </w:p>
    <w:p>
      <w:pPr>
        <w:pStyle w:val="4"/>
        <w:jc w:val="center"/>
        <w:rPr>
          <w:rFonts w:hint="eastAsia"/>
          <w:b/>
          <w:color w:val="auto"/>
          <w:sz w:val="28"/>
          <w:szCs w:val="28"/>
          <w:highlight w:val="none"/>
        </w:rPr>
      </w:pPr>
      <w:bookmarkStart w:id="180" w:name="_Toc25267"/>
      <w:r>
        <w:rPr>
          <w:rFonts w:hint="eastAsia"/>
          <w:b/>
          <w:color w:val="auto"/>
          <w:sz w:val="28"/>
          <w:szCs w:val="28"/>
          <w:highlight w:val="none"/>
        </w:rPr>
        <w:t>第二部分 技术需求书</w:t>
      </w:r>
      <w:bookmarkEnd w:id="180"/>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bookmarkStart w:id="181" w:name="_Toc30247"/>
      <w:r>
        <w:rPr>
          <w:rFonts w:hint="eastAsia"/>
          <w:color w:val="auto"/>
          <w:highlight w:val="none"/>
        </w:rPr>
        <w:t>一、项目</w:t>
      </w:r>
      <w:r>
        <w:rPr>
          <w:rFonts w:hint="eastAsia"/>
          <w:color w:val="auto"/>
          <w:highlight w:val="none"/>
          <w:lang w:eastAsia="zh-CN"/>
        </w:rPr>
        <w:t>概况</w:t>
      </w:r>
      <w:bookmarkEnd w:id="18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s="宋体"/>
          <w:color w:val="auto"/>
          <w:sz w:val="21"/>
          <w:szCs w:val="21"/>
          <w:highlight w:val="none"/>
          <w:lang w:eastAsia="zh-CN"/>
        </w:rPr>
        <w:t>松山湖大学创新城创投大厦A、B塔配套服务用房完善项目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范围：</w:t>
      </w:r>
      <w:r>
        <w:rPr>
          <w:rFonts w:hint="eastAsia" w:ascii="宋体" w:hAnsi="宋体"/>
          <w:color w:val="auto"/>
          <w:sz w:val="21"/>
          <w:szCs w:val="21"/>
          <w:highlight w:val="none"/>
        </w:rPr>
        <w:t>按招标图纸及工程量清单所含内容，包括但不限于：地面拆除；新建墙体、隔断；楼地面、墙面、顶棚、吊顶装修</w:t>
      </w:r>
      <w:r>
        <w:rPr>
          <w:rFonts w:hint="eastAsia" w:ascii="宋体" w:hAnsi="宋体"/>
          <w:color w:val="auto"/>
          <w:sz w:val="21"/>
          <w:szCs w:val="21"/>
          <w:highlight w:val="none"/>
          <w:lang w:eastAsia="zh-CN"/>
        </w:rPr>
        <w:t>、办公家具</w:t>
      </w:r>
      <w:r>
        <w:rPr>
          <w:rFonts w:hint="eastAsia" w:ascii="宋体" w:hAnsi="宋体"/>
          <w:color w:val="auto"/>
          <w:sz w:val="21"/>
          <w:szCs w:val="21"/>
          <w:highlight w:val="none"/>
        </w:rPr>
        <w:t>；门等订做与安装，室内强电管、线采购安装及调试；固定灯具、开关、插座的采购安装及调试；空调管线迁移改造；弱电、网络、监控系统等</w:t>
      </w:r>
      <w:r>
        <w:rPr>
          <w:rFonts w:hint="eastAsia" w:ascii="宋体" w:hAnsi="宋体" w:cs="宋体"/>
          <w:color w:val="auto"/>
          <w:sz w:val="21"/>
          <w:szCs w:val="21"/>
          <w:highlight w:val="none"/>
        </w:rPr>
        <w:t>。</w:t>
      </w:r>
      <w:r>
        <w:rPr>
          <w:rFonts w:hint="eastAsia" w:ascii="宋体" w:hAnsi="宋体" w:eastAsia="宋体" w:cs="宋体"/>
          <w:color w:val="auto"/>
          <w:spacing w:val="0"/>
          <w:w w:val="100"/>
          <w:position w:val="0"/>
          <w:sz w:val="21"/>
          <w:szCs w:val="21"/>
          <w:highlight w:val="none"/>
          <w:lang w:val="en-US" w:eastAsia="zh-CN"/>
        </w:rPr>
        <w:t>以上范围未尽事宜，请详见施工图纸，并满足设计文件要求</w:t>
      </w:r>
      <w:r>
        <w:rPr>
          <w:rFonts w:hint="eastAsia" w:hAnsi="宋体" w:eastAsia="宋体" w:cs="宋体"/>
          <w:color w:val="auto"/>
          <w:spacing w:val="0"/>
          <w:w w:val="100"/>
          <w:position w:val="0"/>
          <w:sz w:val="21"/>
          <w:szCs w:val="21"/>
          <w:highlight w:val="none"/>
          <w:lang w:val="en-US" w:eastAsia="zh-CN"/>
        </w:rPr>
        <w:t>。</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3、材料及工艺要求：</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应保证按照合同和图纸及清单要求进行施工，其施工工艺符合国家标准、规范的施工要求。</w:t>
      </w:r>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bookmarkStart w:id="182" w:name="_Toc2183"/>
      <w:r>
        <w:rPr>
          <w:rFonts w:hint="eastAsia"/>
          <w:color w:val="auto"/>
          <w:highlight w:val="none"/>
          <w:lang w:eastAsia="zh-CN"/>
        </w:rPr>
        <w:t>二</w:t>
      </w:r>
      <w:r>
        <w:rPr>
          <w:rFonts w:hint="eastAsia"/>
          <w:color w:val="auto"/>
          <w:highlight w:val="none"/>
        </w:rPr>
        <w:t>、工程量清单</w:t>
      </w:r>
      <w:bookmarkEnd w:id="182"/>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3" w:name="_Toc31392"/>
      <w:r>
        <w:rPr>
          <w:rFonts w:hint="eastAsia"/>
          <w:b/>
          <w:bCs/>
          <w:color w:val="auto"/>
          <w:sz w:val="21"/>
          <w:szCs w:val="21"/>
          <w:highlight w:val="none"/>
          <w:lang w:val="en-US" w:eastAsia="zh-CN"/>
        </w:rPr>
        <w:t>A塔配套用房完善项目-装修</w:t>
      </w:r>
      <w:bookmarkEnd w:id="183"/>
    </w:p>
    <w:tbl>
      <w:tblPr>
        <w:tblStyle w:val="51"/>
        <w:tblW w:w="8760" w:type="dxa"/>
        <w:tblInd w:w="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665"/>
        <w:gridCol w:w="3765"/>
        <w:gridCol w:w="130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7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2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整个项目</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1.找平层厚度、砂浆配合比:15mm1:2水泥砂浆找平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2.面层材料品种、规格、颜色:CT01 800*800灰色仿古防滑砖拼2mm密缝</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石材零星项目</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1.工程部位:门槛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2.找平层厚度、砂浆配合比:15mm1:2水泥砂浆找平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3.面层材料品种、规格、颜色:ST01 10mm厚黑金沙大理石</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1.防水膜品种:2mm厚聚合物水泥防水涂料</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吊顶天棚</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1.龙骨材料种类、规格、中距:50系列轻钢龙骨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2.基层材料种类、规格:双层水泥纤维板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3.刮腻子遍数:2遍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4.油漆品种、刷漆遍数:乳胶漆一底两面</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吊顶天棚-封边</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1.基层材料种类、规格:双层水泥纤维板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3.油漆品种、刷漆遍数:乳胶漆一底两面</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块料墙面</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1.面层材料品种、规格、颜色:镶贴CT02 300*600mm白色瓷砖</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1.踢脚线高度:50mm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2.基层材料种类、规格:9厘阻燃夹板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3.面层材料品种、规格、颜色:MT01 1.2mm厚深灰色不锈钢踢脚</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1.刮腻子遍数:3遍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2.油漆品种、刷漆遍数:PT03 水泥肌理漆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3.部位:墙面</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块料墙面</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1.9厘阻燃夹板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2.面层材料品种、规格、颜色:瓷砖胶粘贴软木砖</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墙面涂膜防水</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1.防水膜品种:2mm厚聚合物水泥防水涂料</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1.底层厚度、砂浆配合比:15mm厚1：2.5水泥砂浆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2.面层厚度、砂浆配合比:15mm厚1：2.8水泥砂浆</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玻璃隔断门</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1.门代号及洞口尺寸:1000*2200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2.其他:含五金件</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樘</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金属门窗套</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1.面层材料品种、规格:MT01 1.2mm厚深灰色不锈钢门套</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成品隔断</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1.隔断材料品种、规格、颜色:GL01 10mm钢化玻璃，MT02 1.2mm厚不锈钢边框</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砌块墙</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1.砌块品种、规格、强度等级:轻质砖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2.墙体类型:100mm内墙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3.砂浆强度等级:M7.5</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过梁</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1.钢筋种类、规格:三级钢 φ12</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1.钢筋种类、规格:三级钢 箍筋φ6</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1.地面瓷砖拆除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2.废料外运:综合考虑</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封水管</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1.龙骨材料种类、规格、中距:75系列轻钢龙骨架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2.基层材料种类、规格:9.5mm硅酸钙板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3.刮腻子遍数:3遍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4.油漆品种、刷漆遍数:乳胶漆一底两面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5.金属护角条</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满堂脚手架</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1.搭设高度:3.99m</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1.搭设高度:3.99m</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349.92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过梁</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1.过梁模板</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垂直运输</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二次搬运</w:t>
            </w:r>
          </w:p>
        </w:tc>
        <w:tc>
          <w:tcPr>
            <w:tcW w:w="3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1.二次搬运</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4" w:name="_Toc14938"/>
      <w:r>
        <w:rPr>
          <w:rFonts w:hint="eastAsia"/>
          <w:b/>
          <w:bCs/>
          <w:color w:val="auto"/>
          <w:sz w:val="21"/>
          <w:szCs w:val="21"/>
          <w:highlight w:val="none"/>
          <w:lang w:val="en-US" w:eastAsia="zh-CN"/>
        </w:rPr>
        <w:t>A塔配套用房完善项目-强电</w:t>
      </w:r>
      <w:bookmarkEnd w:id="184"/>
    </w:p>
    <w:tbl>
      <w:tblPr>
        <w:tblStyle w:val="51"/>
        <w:tblW w:w="87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667"/>
        <w:gridCol w:w="3733"/>
        <w:gridCol w:w="1284"/>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6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7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2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3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应急照明</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3.规格:WDZN-BYJ-2.5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2.规格:SC20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装饰灯</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1.名称:安全出口标志灯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2.安装形式:壁式</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工厂灯</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1.名称:消防应急疏散照明灯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2.安装形式:壁式</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凿(压)槽</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3.填充(恢复)方式:含修补</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配电箱</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1.名称:配电箱2ALP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2.安装方式:悬挂式</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线槽</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1.名称:金属线槽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2.规格:100*50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线槽</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1.名称:金属线槽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2.规格:100*100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铁构件</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1.名称:桥架、线槽支架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2.材质:铁构件</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kg</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1.除锈级别:手工除锈 一般钢结构 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3.涂刷遍数、漆膜厚度:二遍</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kg</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电力电缆</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2.规格:WDZB-YJY-5X10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4.敷设方式、部位:按实际考虑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5.电压等级(kV):1KV以下</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小电器</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1.名称:铜接线端子10mm2</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2.配线形式:槽内穿线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2.配线形式:槽内穿线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2.配线形式:槽内穿线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2.配线形式:槽内穿线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1.名称:绝缘电线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1.名称:刚性难燃管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1.名称:刚性难燃管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1.名称:刚性难燃管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照明开关</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1.名称:双联单控开关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照明开关</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1.名称:三联单控开关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26</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插座</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1.名称:普通5孔插座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27</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插座</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1.名称:380V插座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28</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插座</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1.名称:空调插座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29</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装饰灯</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1.名称:单头射灯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2.规格:3000K/12W</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装饰灯</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1.名称:轨道射灯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2.规格:3000K/12W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3.安装形式:滑轨式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4.含滑轨</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31</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普通灯具</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1.名称:造型灯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2.规格:3000K/15W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3.类型:吸顶式</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32</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装饰灯</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1.名称:墙面LOGO灯</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33</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开关(插座)盒</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1.名称:开关(插座)盒</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34</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接线盒</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35</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凿(压)槽</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3.填充(恢复)方式:含修补</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1.名称:送配电装置调试</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系统</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37</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38</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5" w:name="_Toc17419"/>
      <w:r>
        <w:rPr>
          <w:rFonts w:hint="eastAsia"/>
          <w:b/>
          <w:bCs/>
          <w:color w:val="auto"/>
          <w:sz w:val="21"/>
          <w:szCs w:val="21"/>
          <w:highlight w:val="none"/>
          <w:lang w:val="en-US" w:eastAsia="zh-CN"/>
        </w:rPr>
        <w:t>A塔配套用房完善项目-给排水</w:t>
      </w:r>
      <w:bookmarkEnd w:id="185"/>
    </w:p>
    <w:tbl>
      <w:tblPr>
        <w:tblStyle w:val="51"/>
        <w:tblW w:w="8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1666"/>
        <w:gridCol w:w="3784"/>
        <w:gridCol w:w="1233"/>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7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2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2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喷淋</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水喷淋(雾)喷头</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1.名称:拆除喷头</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水喷淋(雾)喷头</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3.喷头类型:安装原有喷头</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水喷淋(雾)喷头</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1.名称:喷头 ZSTYZ-15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2.材质、型号、规格:直立标准型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水喷淋钢管</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2.材质、规格:内外壁热镀锌钢管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4.涂刷遍数、漆膜厚度:刷调和漆二道</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给水</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3.材质、规格:PPR给水管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5.压力试验及吹、洗设计要求:水压试验及水冲洗</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3.材质、规格:PPR给水管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5.压力试验及吹、洗设计要求:水压试验及水冲洗</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管道支架</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1.材质:型钢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3.除锈、刷油设计要求:手工除锈、刷防锈漆和调和漆各两遍</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kg</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螺纹阀门</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1.类型:闸阀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2.规格、压力等级:DN25</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螺纹阀门</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1.类型:闸阀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2.规格、压力等级:DN50</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水表</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1.安装部位(室内外):室内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2.名称:螺纹水表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4.连接形式:螺纹连接</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组</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排水</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3.材质、规格:硬质聚氯乙烯管DN75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4.连接形式:粘接连接</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7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6" w:name="_Toc27534"/>
      <w:r>
        <w:rPr>
          <w:rFonts w:hint="eastAsia"/>
          <w:b/>
          <w:bCs/>
          <w:color w:val="auto"/>
          <w:sz w:val="21"/>
          <w:szCs w:val="21"/>
          <w:highlight w:val="none"/>
          <w:lang w:val="en-US" w:eastAsia="zh-CN"/>
        </w:rPr>
        <w:t>A塔配套用房完善项目-弱电</w:t>
      </w:r>
      <w:bookmarkEnd w:id="186"/>
    </w:p>
    <w:tbl>
      <w:tblPr>
        <w:tblStyle w:val="51"/>
        <w:tblW w:w="87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650"/>
        <w:gridCol w:w="3800"/>
        <w:gridCol w:w="130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6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8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3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2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音频系统</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1.名称:多股铜芯聚氯乙烯绝缘导线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3.规格:RVS-2x1.5</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1.名称:多股铜芯聚氯乙烯绝缘导线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3.规格:RVVH-2*1.5</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2.规格:JDG20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扩声系统设备</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1.名称:吸顶音响</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监控系统</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1.名称:多股铜芯聚氯乙烯绝缘导线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3.规格:RVS-2x1.5</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双绞线缆</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1.名称:双绞线缆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2.规格:UTP-CAT6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3.敷设方式:管内穿线</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2.规格:JDG20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1.名称:摄像机</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安全防范分系统调试</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1.名称:摄像机调试</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系统</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弱电</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光缆</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1.名称:G.652D(2芯)光纤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2.敷设方式:管内穿线</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双绞线缆</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1.名称:双绞线缆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2.规格:UTP-CAT6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3.敷设方式:管内穿线</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2.规格:JDG20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2.规格:JDG32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3.配置形式:暗配</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机柜、机架</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1.名称:弱电机柜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2.安装方式:墙挂式</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路由器</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1.名称:以太网无源光纤接入用户设备</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路由器</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1.名称:千兆路由器</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交换机</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1.名称:24口千兆网络交换机</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配线架</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1.名称:ODF光纤配线架</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信息插座</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1.名称:网络插座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接线盒</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1.测试类别:双绞线缆测试（六类）</w:t>
            </w: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链路</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7" w:name="_Toc2484"/>
      <w:r>
        <w:rPr>
          <w:rFonts w:hint="eastAsia"/>
          <w:b/>
          <w:bCs/>
          <w:color w:val="auto"/>
          <w:sz w:val="21"/>
          <w:szCs w:val="21"/>
          <w:highlight w:val="none"/>
          <w:lang w:val="en-US" w:eastAsia="zh-CN"/>
        </w:rPr>
        <w:t>A塔配套用房完善项目-暖通</w:t>
      </w:r>
      <w:bookmarkEnd w:id="187"/>
    </w:p>
    <w:tbl>
      <w:tblPr>
        <w:tblStyle w:val="51"/>
        <w:tblW w:w="8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1635"/>
        <w:gridCol w:w="3795"/>
        <w:gridCol w:w="1380"/>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7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1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通风</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1.名称:碳钢风管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4.规格:长边长(mm) ≤320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5.板材厚度:δ=0.6mm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6.管件、法兰等附件及支架设计要求:支架及其除锈刷油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7.接口形式:咬口</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碳钢风口、散流器、百叶窗</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1.名称:矩形散流器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2.规格:320*200</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通风工程检测、调试</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1.风管工程量:通风工程检测、调试</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系统</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空调</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风机盘管</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1.名称:风机盘管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2.支架及其除锈刷油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3.含:拆除、安装旧机</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1.名称:碳钢风管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4.规格:长边长(mm) ≤1000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5.板材厚度:δ=0.75mm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6.管件、法兰等附件及支架设计要求:支架及其除锈刷油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7.接口形式:咬口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8.保温做法:30mm厚B1级铝铂橡塑复合隔热材料</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碳钢风口、散流器、百叶窗</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1.名称:单层百叶送风口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3.含过空气净化过滤装置</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碳钢阀门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1.名称:风口调节阀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2.规格:600*300</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8" w:name="_Toc2533"/>
      <w:r>
        <w:rPr>
          <w:rFonts w:hint="eastAsia"/>
          <w:b/>
          <w:bCs/>
          <w:color w:val="auto"/>
          <w:sz w:val="21"/>
          <w:szCs w:val="21"/>
          <w:highlight w:val="none"/>
          <w:lang w:val="en-US" w:eastAsia="zh-CN"/>
        </w:rPr>
        <w:t>B塔配套用房完善项目-装修</w:t>
      </w:r>
      <w:bookmarkEnd w:id="188"/>
    </w:p>
    <w:tbl>
      <w:tblPr>
        <w:tblStyle w:val="51"/>
        <w:tblW w:w="8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509"/>
        <w:gridCol w:w="3838"/>
        <w:gridCol w:w="1350"/>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5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8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17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整个项目</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其他隔断</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1.骨架、边框材料种类、规格:1.0厚100系列轻钢龙骨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2.隔板材料品种、规格、颜色:双面9mm厚硅酸钙板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3.中间满填防火隔音棉，隔声量为FSTC 50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玻璃隔断</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1.边框材料种类、规格:84*44*1.2MM型材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2.玻璃品种、规格、颜色:5+5MM钢化玻璃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3.中间带百叶</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亚克力发光字体</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1.镌字材料品种、颜色:亚克力发光字体-中文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2.字体规格:350mm高，433mm宽</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亚克力发光字体</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1.镌字材料品种、颜色:亚克力发光字体-英文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2.字体规格: 65mm高，865mm宽</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cm</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亚克力发光LOGO</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1.镌字材料品种、颜色:亚克力发光LOGO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2.字体规格:650*650mm</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窗帘</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1.窗帘材质:遮光帘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2.其他:轨道及其他五金件等</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饰面夹板、塑料窗帘盒</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1.窗帘盒材质、规格:200*200mm，木工板基层板+石膏板，油白色无机涂料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2.30*30木方阻燃处理</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木质门带套</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1.门代号及洞口尺寸:浅色木饰面木门1000*2250mm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2.木饰面门套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3.含成品不锈钢拉手等五金配件</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樘</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地弹门</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1.门框或扇外围尺寸:1000*3000mm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2.门框、扇材质:84*44*1.2MM型材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3.玻璃品种、厚度:12mm钢化玻璃</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樘</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块料踢脚线</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1.踢脚线高度:80mm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2.面层材料品种、规格、颜色:瓷砖踢脚线</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格栅吊顶</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1.龙骨材料种类、规格、中距:条形铝格栅专用龙骨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2.面层材料品种、规格:CA01 0.8*60*80MM灰色格栅，间距为100MM</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1.刮腻子遍数:刮腻子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2.油漆品种、刷漆遍数:刷PT01白色无机涂料，底漆一遍，面漆两遍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3.部位:原顶天棚</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1.刮腻子遍数:刮腻子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2.油漆品种、刷漆遍数:刷PT01白色无机涂料，底漆一遍，面漆两遍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3.部位:墙柱面</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柜子</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1.台柜规格:成品订购柜 3720*700*2100mm</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档案柜</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1.台柜规格:成品订购档案柜 7900*350*2100mm</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橱柜</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1.台柜规格:1995*600*850mm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2.材料种类、规格:20mm厚人造石英石台面，20mm厚木饰面层板及柜体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3.五金种类、规格:含灰色拉丝不锈钢踢脚</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签约区办公桌椅组合</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1.规格:签约区办公桌椅组合 2300*1400*750mm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2.面材:采用国标E1级环保优质三聚氰胺板,静曲强度≥12Mpa,表面耐磨、耐干热、耐污染腐蚀、耐龟裂、耐水蒸气;优质PVC封边。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3.配件:标配400W HCB线盒,配国产“DTC"优质门铰、自滑导轨等五金,定制专用锁具。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4.结构:主台+附柜,附柜为单趟门+主机箱+等大木三抽+单掩门,趟门及掩门内各一块活层板,倒反斜边做法,下带400H木挡板。</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主管位办公桌椅组合</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1.规格:主管位办公桌椅组合 1800*1400*750mm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2.面材:采用国标E1级环保优质三聚氰胺板,静曲强度≥12Mpa,表面耐磨、耐干热、耐污染腐蚀、耐龟裂、耐水蒸气;优质PVC封边。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3.配件:采用铝材,模具化铝型材框架及桌脚,阳极氧化工艺处理。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4.结构:含一个双排上线中脚,含桌屏、线盒、线槽,带走线功能。</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员工办公桌椅组合</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1.规格:员工办公桌椅组合 1400*1400*750mm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2.面材:采用国标E1级环保优质三聚氰胺板,静曲强度≥12Mpa,表面耐磨、耐干热、耐污染腐蚀、耐龟裂、耐水蒸气;优质PVC封边。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3.配件:采用铝材,模具化铝型材框架及桌脚,阳极氧化工艺处理。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4.结构:含一个双排上线中脚,含桌屏、线盒、线槽,带走线功能。</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签约区沙发组合</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1.规格:沙发:1800*750mm，茶几:1200*600mm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2.沙发面材:优质羊绒面料,防污,耐磨,易清洁;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3.海绵:采用高弹定型海棉,软硬适中,回弹好,不变形;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4.沙发结构:电镀十字脚架。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5.茶几面材:采用国标E1级环保优质三聚氰胺板,静曲强度≥12Mpa,表面耐磨、耐干热、耐污染腐蚀、耐龟裂、耐水蒸气;优质PVC封边。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6.茶几结构:采用铝材,氧化银色铝型材框架及桌脚。</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洽谈室洽谈桌椅组合</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1.规格:1100*750mm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2.洽谈桌面材:采用国标E1级环保优质三聚氰胺板,静曲强度≥12Mpa,表面耐磨、耐干热、耐污染腐蚀、耐龟裂、耐水蒸气;优质PVC封边。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3.洽谈桌结构:采用铝材,氧化银色铝型材框架及桌脚。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4.洽谈椅面材:优质羊绒面料,防污,耐磨,易清洁;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5.洽谈椅海绵:采用高弹定型海棉,软硬适中,回弹好,不变形;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6.洽谈椅结构:电镀十字脚架</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会议室桌椅组合</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1.规格:2600*1200*750mm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2.会议桌面材:采用国标E1级环保优质三聚氰胺板,静曲强度≥12Mpa,表面耐磨、耐干热、耐污染腐蚀、耐龟裂、耐水蒸气;优质PVC封边。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3.会议桌配件:含双排上线中脚,含BP线盖及底盒,带走线功能。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4.会议桌结构:采用铝材,氧化银色铝型材框架及桌脚。</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1.墙面单排脚手架</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336.14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满堂脚手架</w:t>
            </w:r>
          </w:p>
        </w:tc>
        <w:tc>
          <w:tcPr>
            <w:tcW w:w="38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1.天棚满堂脚手架</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99.41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89" w:name="_Toc28500"/>
      <w:r>
        <w:rPr>
          <w:rFonts w:hint="eastAsia"/>
          <w:b/>
          <w:bCs/>
          <w:color w:val="auto"/>
          <w:sz w:val="21"/>
          <w:szCs w:val="21"/>
          <w:highlight w:val="none"/>
          <w:lang w:val="en-US" w:eastAsia="zh-CN"/>
        </w:rPr>
        <w:t>B塔配套用房完善项目-强电</w:t>
      </w:r>
      <w:bookmarkEnd w:id="189"/>
    </w:p>
    <w:tbl>
      <w:tblPr>
        <w:tblStyle w:val="51"/>
        <w:tblW w:w="8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445"/>
        <w:gridCol w:w="3834"/>
        <w:gridCol w:w="1333"/>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5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8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1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配电照明</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配电箱2AL-5</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1.名称:配电箱2AL-5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2.安装方式:悬挂式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3.含箱体内元器件</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4.配置形式:明配</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3.规格:WDZB-BYJ-4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5.配线部位:按实考虑</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配线</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3.规格:WDZB-BYJ-2.5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100*1200MM LED平板灯</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1.名称:100*1200MM LED平板灯</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明装LED筒灯</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1.名称:明装LED筒灯</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明装射灯</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1.名称:明装射灯</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照明开关</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1.名称:单联单控开关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照明开关</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1.名称:双联单控开关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照明开关</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1.名称:三联单控开关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二、三极带保护门安全型插座</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1.名称:二、三极带保护门安全型插座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接线盒</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接线盒</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1.名称:开关（插座）盒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凿(压)槽</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1.名称:凿(压)槽及修复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2.规格:宽70×深70mm</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90" w:name="_Toc27443"/>
      <w:r>
        <w:rPr>
          <w:rFonts w:hint="eastAsia"/>
          <w:b/>
          <w:bCs/>
          <w:color w:val="auto"/>
          <w:sz w:val="21"/>
          <w:szCs w:val="21"/>
          <w:highlight w:val="none"/>
          <w:lang w:val="en-US" w:eastAsia="zh-CN"/>
        </w:rPr>
        <w:t>B塔配套用房完善项目-弱电</w:t>
      </w:r>
      <w:bookmarkEnd w:id="190"/>
    </w:p>
    <w:tbl>
      <w:tblPr>
        <w:tblStyle w:val="51"/>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450"/>
        <w:gridCol w:w="3850"/>
        <w:gridCol w:w="1351"/>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5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8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3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1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1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弱电</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网络插座</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1.名称:网络插座</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电话插座</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1.名称:电话插座</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接线盒</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1.名称:开关（插座）盒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配管</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网络线CAT6</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1.名称:网络线CAT6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2.敷设方式:管内敷设</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firstLine="422" w:firstLineChars="200"/>
        <w:textAlignment w:val="auto"/>
        <w:rPr>
          <w:rFonts w:hint="eastAsia"/>
          <w:b/>
          <w:bCs/>
          <w:color w:val="auto"/>
          <w:sz w:val="21"/>
          <w:szCs w:val="21"/>
          <w:highlight w:val="none"/>
          <w:lang w:val="en-US" w:eastAsia="zh-CN"/>
        </w:rPr>
      </w:pPr>
      <w:bookmarkStart w:id="191" w:name="_Toc6277"/>
      <w:r>
        <w:rPr>
          <w:rFonts w:hint="eastAsia"/>
          <w:b/>
          <w:bCs/>
          <w:color w:val="auto"/>
          <w:sz w:val="21"/>
          <w:szCs w:val="21"/>
          <w:highlight w:val="none"/>
          <w:lang w:val="en-US" w:eastAsia="zh-CN"/>
        </w:rPr>
        <w:t>B塔配套用房完善项目-暖通</w:t>
      </w:r>
      <w:bookmarkEnd w:id="191"/>
    </w:p>
    <w:tbl>
      <w:tblPr>
        <w:tblStyle w:val="51"/>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2"/>
        <w:gridCol w:w="1483"/>
        <w:gridCol w:w="3883"/>
        <w:gridCol w:w="1317"/>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9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8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88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3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2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9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9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8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通风</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1.名称:碳钢风管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4.规格:长边长(mm) ≤1000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5.板材厚度:δ=0.75mm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6.管件、法兰等附件及支架设计要求:支架及其除锈刷油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7.接口形式:咬口</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1.名称:碳钢风管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4.规格:长边长(mm) ≤320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5.板材厚度:δ=0.5mm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6.管件、法兰等附件及支架设计要求:支架及其除锈刷油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7.接口形式:咬口</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单层百叶送风口450*450</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1.名称:单层百叶送风口450*450</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单层百叶送风口600X300</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1.名称:单层百叶送风口600X300</w:t>
            </w: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b/>
          <w:bCs/>
          <w:color w:val="auto"/>
          <w:sz w:val="21"/>
          <w:szCs w:val="21"/>
          <w:highlight w:val="none"/>
          <w:lang w:val="en-US" w:eastAsia="zh-CN"/>
        </w:rPr>
      </w:pPr>
      <w:bookmarkStart w:id="192" w:name="_Toc32110"/>
      <w:r>
        <w:rPr>
          <w:rFonts w:hint="eastAsia"/>
          <w:b/>
          <w:bCs/>
          <w:color w:val="auto"/>
          <w:sz w:val="21"/>
          <w:szCs w:val="21"/>
          <w:highlight w:val="none"/>
          <w:lang w:val="en-US" w:eastAsia="zh-CN"/>
        </w:rPr>
        <w:t>10.B塔配套用房完善项目-给排水</w:t>
      </w:r>
      <w:bookmarkEnd w:id="192"/>
    </w:p>
    <w:tbl>
      <w:tblPr>
        <w:tblStyle w:val="51"/>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467"/>
        <w:gridCol w:w="3900"/>
        <w:gridCol w:w="1300"/>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0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3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13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12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0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0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3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3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2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给水</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3.材质、规格:无规共聚聚丙烯管(PP-R)DN25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5.压力试验及吹、洗设计要求:冲洗.消毒</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3.材质、规格:无规共聚聚丙烯管(PP-R)DN32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5.压力试验及吹、洗设计要求:冲洗.消毒</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螺纹阀门</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1.类型:截止阀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2.规格、压力等级:DN32</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排水</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3.材质、规格:硬质聚氯乙烯管排水管DN100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4.连接形式:橡胶圈承插连接</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3.材质、规格:硬质聚氯乙烯管排水管DN50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4.连接形式:橡胶圈承插连接</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洗脸盆</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1.规格、类型:台式洗脸盆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2.组装形式:成套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3.附件名称、数量:洗手龙头DN20、角阀DN20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4.备注:含全套配件</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组</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措施项目</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r>
    </w:tbl>
    <w:p>
      <w:pPr>
        <w:pStyle w:val="7"/>
        <w:rPr>
          <w:rFonts w:hint="eastAsia"/>
          <w:color w:val="auto"/>
          <w:highlight w:val="none"/>
          <w:lang w:val="en-US" w:eastAsia="zh-CN"/>
        </w:rPr>
      </w:pP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93" w:name="_Toc22790"/>
      <w:r>
        <w:rPr>
          <w:rFonts w:hint="eastAsia"/>
          <w:color w:val="auto"/>
          <w:highlight w:val="none"/>
          <w:lang w:eastAsia="zh-CN"/>
        </w:rPr>
        <w:t>三</w:t>
      </w:r>
      <w:r>
        <w:rPr>
          <w:rFonts w:hint="eastAsia"/>
          <w:color w:val="auto"/>
          <w:highlight w:val="none"/>
        </w:rPr>
        <w:t>、服务要求</w:t>
      </w:r>
      <w:bookmarkEnd w:id="193"/>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 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 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w:t>
      </w:r>
      <w:r>
        <w:rPr>
          <w:rFonts w:hint="eastAsia" w:hAnsi="宋体" w:cs="宋体"/>
          <w:color w:val="auto"/>
          <w:sz w:val="21"/>
          <w:szCs w:val="21"/>
          <w:highlight w:val="none"/>
          <w:lang w:eastAsia="zh-CN"/>
        </w:rPr>
        <w:t>无</w:t>
      </w:r>
      <w:r>
        <w:rPr>
          <w:rFonts w:hint="eastAsia" w:hAnsi="宋体" w:cs="宋体"/>
          <w:color w:val="auto"/>
          <w:sz w:val="21"/>
          <w:szCs w:val="21"/>
          <w:highlight w:val="none"/>
        </w:rPr>
        <w:t>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pStyle w:val="4"/>
        <w:keepNext/>
        <w:keepLines/>
        <w:pageBreakBefore/>
        <w:numPr>
          <w:ilvl w:val="0"/>
          <w:numId w:val="15"/>
        </w:numPr>
        <w:spacing w:line="360" w:lineRule="auto"/>
        <w:jc w:val="center"/>
        <w:rPr>
          <w:rFonts w:hAnsi="宋体"/>
          <w:b/>
          <w:bCs/>
          <w:color w:val="auto"/>
          <w:kern w:val="44"/>
          <w:sz w:val="28"/>
          <w:szCs w:val="28"/>
          <w:highlight w:val="none"/>
          <w:lang w:val="zh-CN"/>
        </w:rPr>
      </w:pPr>
      <w:bookmarkStart w:id="194" w:name="_Toc29817"/>
      <w:r>
        <w:rPr>
          <w:rFonts w:hint="eastAsia" w:hAnsi="宋体"/>
          <w:b/>
          <w:bCs/>
          <w:color w:val="auto"/>
          <w:kern w:val="44"/>
          <w:sz w:val="28"/>
          <w:szCs w:val="28"/>
          <w:highlight w:val="none"/>
          <w:lang w:val="zh-CN"/>
        </w:rPr>
        <w:t>评审工作大纲</w:t>
      </w:r>
      <w:bookmarkEnd w:id="194"/>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6"/>
        </w:numPr>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60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10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在201</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年1月1日至今完成</w:t>
            </w:r>
            <w:r>
              <w:rPr>
                <w:rFonts w:hint="eastAsia" w:hAnsi="宋体" w:cs="宋体"/>
                <w:color w:val="auto"/>
                <w:sz w:val="21"/>
                <w:szCs w:val="21"/>
                <w:highlight w:val="none"/>
                <w:lang w:eastAsia="zh-CN"/>
              </w:rPr>
              <w:t>的</w:t>
            </w:r>
            <w:r>
              <w:rPr>
                <w:rFonts w:hint="eastAsia" w:ascii="宋体" w:hAnsi="宋体" w:eastAsia="宋体" w:cs="宋体"/>
                <w:color w:val="auto"/>
                <w:sz w:val="21"/>
                <w:szCs w:val="21"/>
                <w:highlight w:val="none"/>
              </w:rPr>
              <w:t>建筑工程</w:t>
            </w:r>
            <w:r>
              <w:rPr>
                <w:rFonts w:hint="eastAsia" w:hAnsi="宋体" w:cs="宋体"/>
                <w:color w:val="auto"/>
                <w:sz w:val="21"/>
                <w:szCs w:val="21"/>
                <w:highlight w:val="none"/>
                <w:lang w:eastAsia="zh-CN"/>
              </w:rPr>
              <w:t>类</w:t>
            </w:r>
            <w:r>
              <w:rPr>
                <w:rFonts w:hint="eastAsia" w:ascii="宋体" w:hAnsi="宋体" w:eastAsia="宋体" w:cs="宋体"/>
                <w:color w:val="auto"/>
                <w:sz w:val="21"/>
                <w:szCs w:val="21"/>
                <w:highlight w:val="none"/>
              </w:rPr>
              <w:t>或装饰装修</w:t>
            </w:r>
            <w:r>
              <w:rPr>
                <w:rFonts w:hint="eastAsia" w:hAnsi="宋体" w:cs="宋体"/>
                <w:color w:val="auto"/>
                <w:sz w:val="21"/>
                <w:szCs w:val="21"/>
                <w:highlight w:val="none"/>
                <w:lang w:eastAsia="zh-CN"/>
              </w:rPr>
              <w:t>类</w:t>
            </w:r>
            <w:r>
              <w:rPr>
                <w:rFonts w:hint="eastAsia" w:ascii="宋体" w:hAnsi="宋体" w:eastAsia="宋体" w:cs="宋体"/>
                <w:color w:val="auto"/>
                <w:sz w:val="21"/>
                <w:szCs w:val="21"/>
                <w:highlight w:val="none"/>
              </w:rPr>
              <w:t>工程施工业绩，每个得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注：须同时提供以下证明材料加盖公章：</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中标</w:t>
            </w:r>
            <w:r>
              <w:rPr>
                <w:rFonts w:hint="eastAsia" w:hAnsi="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合同主要页复印件；</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rPr>
              <w:t>竣工验收报告或验收证明；</w:t>
            </w:r>
            <w:r>
              <w:rPr>
                <w:rFonts w:hint="eastAsia" w:hAnsi="宋体" w:cs="宋体"/>
                <w:color w:val="auto"/>
                <w:sz w:val="21"/>
                <w:szCs w:val="21"/>
                <w:highlight w:val="none"/>
                <w:lang w:eastAsia="zh-CN"/>
              </w:rPr>
              <w:t>④</w:t>
            </w:r>
            <w:r>
              <w:rPr>
                <w:rFonts w:hint="eastAsia" w:ascii="宋体" w:hAnsi="宋体" w:eastAsia="宋体" w:cs="宋体"/>
                <w:color w:val="auto"/>
                <w:sz w:val="21"/>
                <w:szCs w:val="21"/>
                <w:highlight w:val="none"/>
              </w:rPr>
              <w:t>客户联系人及电话以查证；</w:t>
            </w:r>
            <w:r>
              <w:rPr>
                <w:rFonts w:hint="eastAsia" w:hAnsi="宋体" w:cs="宋体"/>
                <w:color w:val="auto"/>
                <w:sz w:val="21"/>
                <w:szCs w:val="21"/>
                <w:highlight w:val="none"/>
                <w:lang w:eastAsia="zh-CN"/>
              </w:rPr>
              <w:t>⑤</w:t>
            </w:r>
            <w:r>
              <w:rPr>
                <w:rFonts w:hint="eastAsia" w:ascii="宋体" w:hAnsi="宋体" w:eastAsia="宋体" w:cs="宋体"/>
                <w:color w:val="auto"/>
                <w:sz w:val="21"/>
                <w:szCs w:val="21"/>
                <w:highlight w:val="none"/>
              </w:rPr>
              <w:t>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kern w:val="2"/>
                <w:sz w:val="21"/>
                <w:szCs w:val="21"/>
                <w:highlight w:val="none"/>
              </w:rPr>
              <w:t>拟投入本项目人员情况</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ind w:firstLine="422" w:firstLineChars="200"/>
              <w:textAlignment w:val="auto"/>
              <w:rPr>
                <w:rStyle w:val="59"/>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项目施工负责人：</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具有</w:t>
            </w:r>
            <w:r>
              <w:rPr>
                <w:rFonts w:hint="eastAsia"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专业</w:t>
            </w:r>
            <w:r>
              <w:rPr>
                <w:rFonts w:hint="eastAsia" w:ascii="宋体" w:hAnsi="宋体" w:eastAsia="宋体" w:cs="宋体"/>
                <w:color w:val="auto"/>
                <w:sz w:val="21"/>
                <w:szCs w:val="21"/>
                <w:highlight w:val="none"/>
              </w:rPr>
              <w:t>类中级</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或以上</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职称</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或</w:t>
            </w:r>
            <w:r>
              <w:rPr>
                <w:rFonts w:hint="eastAsia" w:hAnsi="宋体" w:cs="宋体"/>
                <w:bCs/>
                <w:color w:val="auto"/>
                <w:sz w:val="21"/>
                <w:szCs w:val="21"/>
                <w:highlight w:val="none"/>
                <w:shd w:val="clear" w:color="auto" w:fill="FFFFFF"/>
                <w:lang w:eastAsia="zh-CN"/>
              </w:rPr>
              <w:t>具有二</w:t>
            </w:r>
            <w:r>
              <w:rPr>
                <w:rFonts w:hint="eastAsia" w:ascii="宋体" w:hAnsi="宋体" w:eastAsia="宋体" w:cs="宋体"/>
                <w:bCs/>
                <w:color w:val="auto"/>
                <w:sz w:val="21"/>
                <w:szCs w:val="21"/>
                <w:highlight w:val="none"/>
                <w:shd w:val="clear" w:color="auto" w:fill="FFFFFF"/>
              </w:rPr>
              <w:t>级</w:t>
            </w:r>
            <w:r>
              <w:rPr>
                <w:rFonts w:hint="eastAsia" w:hAnsi="宋体" w:cs="宋体"/>
                <w:bCs/>
                <w:color w:val="auto"/>
                <w:sz w:val="21"/>
                <w:szCs w:val="21"/>
                <w:highlight w:val="none"/>
                <w:shd w:val="clear" w:color="auto" w:fill="FFFFFF"/>
                <w:lang w:eastAsia="zh-CN"/>
              </w:rPr>
              <w:t>或以上</w:t>
            </w:r>
            <w:r>
              <w:rPr>
                <w:rFonts w:hint="eastAsia" w:ascii="宋体" w:hAnsi="宋体" w:eastAsia="宋体" w:cs="宋体"/>
                <w:bCs/>
                <w:color w:val="auto"/>
                <w:sz w:val="21"/>
                <w:szCs w:val="21"/>
                <w:highlight w:val="none"/>
                <w:shd w:val="clear" w:color="auto" w:fill="FFFFFF"/>
              </w:rPr>
              <w:t>注册建造师</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建造师注册证书中列明的专业类别为</w:t>
            </w:r>
            <w:r>
              <w:rPr>
                <w:rFonts w:hint="eastAsia" w:hAnsi="宋体" w:cs="宋体"/>
                <w:bCs/>
                <w:color w:val="auto"/>
                <w:sz w:val="21"/>
                <w:szCs w:val="21"/>
                <w:highlight w:val="none"/>
                <w:shd w:val="clear" w:color="auto" w:fill="FFFFFF"/>
                <w:lang w:eastAsia="zh-CN"/>
              </w:rPr>
              <w:t>建筑</w:t>
            </w:r>
            <w:r>
              <w:rPr>
                <w:rFonts w:hint="eastAsia" w:ascii="宋体" w:hAnsi="宋体" w:eastAsia="宋体" w:cs="宋体"/>
                <w:bCs/>
                <w:color w:val="auto"/>
                <w:sz w:val="21"/>
                <w:szCs w:val="21"/>
                <w:highlight w:val="none"/>
                <w:shd w:val="clear" w:color="auto" w:fill="FFFFFF"/>
              </w:rPr>
              <w:t>工程</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注册单位为</w:t>
            </w:r>
            <w:r>
              <w:rPr>
                <w:rFonts w:hint="eastAsia" w:hAnsi="宋体" w:cs="宋体"/>
                <w:bCs/>
                <w:color w:val="auto"/>
                <w:sz w:val="21"/>
                <w:szCs w:val="21"/>
                <w:highlight w:val="none"/>
                <w:shd w:val="clear" w:color="auto" w:fill="FFFFFF"/>
                <w:lang w:eastAsia="zh-CN"/>
              </w:rPr>
              <w:t>供应商</w:t>
            </w:r>
            <w:r>
              <w:rPr>
                <w:rFonts w:hint="eastAsia" w:ascii="宋体" w:hAnsi="宋体" w:eastAsia="宋体" w:cs="宋体"/>
                <w:bCs/>
                <w:color w:val="auto"/>
                <w:sz w:val="21"/>
                <w:szCs w:val="21"/>
                <w:highlight w:val="none"/>
                <w:shd w:val="clear" w:color="auto" w:fill="FFFFFF"/>
              </w:rPr>
              <w:t>本单位</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分；本项最高得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施工技术负责人：</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具有</w:t>
            </w:r>
            <w:r>
              <w:rPr>
                <w:rFonts w:hint="eastAsia" w:ascii="宋体"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类专业</w:t>
            </w:r>
            <w:r>
              <w:rPr>
                <w:rFonts w:hint="eastAsia" w:ascii="宋体" w:hAnsi="宋体" w:eastAsia="宋体" w:cs="宋体"/>
                <w:color w:val="auto"/>
                <w:sz w:val="21"/>
                <w:szCs w:val="21"/>
                <w:highlight w:val="none"/>
              </w:rPr>
              <w:t>类中级（或以上）职称的，得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安全员：</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具备主管部门颁发的安全生产考核合格证(须为专职安全生产管理人员C证，即“C类”证），</w:t>
            </w:r>
            <w:r>
              <w:rPr>
                <w:rFonts w:hint="eastAsia" w:ascii="宋体" w:hAnsi="宋体" w:eastAsia="宋体" w:cs="宋体"/>
                <w:color w:val="auto"/>
                <w:sz w:val="21"/>
                <w:szCs w:val="21"/>
                <w:highlight w:val="none"/>
              </w:rPr>
              <w:t>每人得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具有质量员（质检员）上岗证，或工程类初级（或以上）职称，每人得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具有资料员上岗证，或工程类初级（或以上）职称，每人得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施工</w:t>
            </w:r>
            <w:r>
              <w:rPr>
                <w:rFonts w:hint="eastAsia" w:ascii="宋体" w:hAnsi="宋体" w:eastAsia="宋体" w:cs="宋体"/>
                <w:b/>
                <w:color w:val="auto"/>
                <w:sz w:val="21"/>
                <w:szCs w:val="21"/>
                <w:highlight w:val="none"/>
              </w:rPr>
              <w:t>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eastAsia="zh-CN"/>
              </w:rPr>
              <w:t>施工员</w:t>
            </w:r>
            <w:r>
              <w:rPr>
                <w:rFonts w:hint="eastAsia" w:ascii="宋体" w:hAnsi="宋体" w:eastAsia="宋体" w:cs="宋体"/>
                <w:color w:val="auto"/>
                <w:sz w:val="21"/>
                <w:szCs w:val="21"/>
                <w:highlight w:val="none"/>
              </w:rPr>
              <w:t>资格，或工程类初级（或以上）职称，每人得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注：须提供以上证书</w:t>
            </w:r>
            <w:r>
              <w:rPr>
                <w:rFonts w:hint="eastAsia" w:ascii="宋体" w:hAnsi="宋体" w:eastAsia="宋体" w:cs="宋体"/>
                <w:color w:val="auto"/>
                <w:sz w:val="21"/>
                <w:szCs w:val="21"/>
                <w:highlight w:val="none"/>
                <w:lang w:eastAsia="zh-CN"/>
              </w:rPr>
              <w:t>及供应商为其缴纳的近三个月社保证明文件</w:t>
            </w:r>
            <w:r>
              <w:rPr>
                <w:rFonts w:hint="eastAsia" w:ascii="宋体" w:hAnsi="宋体" w:eastAsia="宋体" w:cs="宋体"/>
                <w:color w:val="auto"/>
                <w:sz w:val="21"/>
                <w:szCs w:val="21"/>
                <w:highlight w:val="none"/>
              </w:rPr>
              <w:t>复印件加盖公章。如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当地有关政府部门政策文件可享受阶段性免征或可延期缴纳社会养老保险的，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可提供开始享受阶段性免征或可延期缴纳社会养老保险时的上三个月的社会养老保险证明，并同时提供当地有关政府部门政策文件的打印件或复印件。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对项目的施工实施方案进行综合评审：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能详述本项目情况和需求，有具体的工期进度计划（</w:t>
            </w:r>
            <w:r>
              <w:rPr>
                <w:rFonts w:hint="eastAsia" w:ascii="宋体" w:hAnsi="宋体" w:eastAsia="宋体" w:cs="宋体"/>
                <w:color w:val="auto"/>
                <w:sz w:val="21"/>
                <w:szCs w:val="21"/>
                <w:highlight w:val="none"/>
              </w:rPr>
              <w:t>进度关键线路清晰</w:t>
            </w:r>
            <w:r>
              <w:rPr>
                <w:rFonts w:hint="eastAsia" w:hAnsi="宋体" w:cs="宋体"/>
                <w:color w:val="auto"/>
                <w:sz w:val="21"/>
                <w:szCs w:val="21"/>
                <w:highlight w:val="none"/>
                <w:lang w:eastAsia="zh-CN"/>
              </w:rPr>
              <w:t>）及保证措施、拟投入的服务人员队伍架构合理；配备项目所需材料设备等资源、对施工条件的管理要求明确等，整体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能基本说明项目概况，有工期进度计划；拟投入的人力、物力基本符合项目需求；</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合理，但不够详尽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对项目情况不熟悉，工期进度计划不合理，</w:t>
            </w:r>
            <w:r>
              <w:rPr>
                <w:rFonts w:hint="eastAsia" w:ascii="宋体" w:hAnsi="宋体" w:eastAsia="宋体" w:cs="宋体"/>
                <w:color w:val="auto"/>
                <w:sz w:val="21"/>
                <w:szCs w:val="21"/>
                <w:highlight w:val="none"/>
              </w:rPr>
              <w:t>实施方案一般；计划措施一般</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eastAsia="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hAnsi="宋体" w:eastAsia="宋体"/>
                <w:color w:val="auto"/>
                <w:sz w:val="21"/>
                <w:szCs w:val="21"/>
                <w:highlight w:val="none"/>
              </w:rPr>
            </w:pPr>
          </w:p>
          <w:p>
            <w:pPr>
              <w:spacing w:line="360" w:lineRule="auto"/>
              <w:jc w:val="center"/>
              <w:rPr>
                <w:rFonts w:hint="eastAsia" w:hAnsi="宋体" w:eastAsia="宋体"/>
                <w:color w:val="auto"/>
                <w:sz w:val="21"/>
                <w:szCs w:val="21"/>
                <w:highlight w:val="none"/>
              </w:rPr>
            </w:pPr>
          </w:p>
          <w:p>
            <w:pPr>
              <w:spacing w:line="360" w:lineRule="auto"/>
              <w:jc w:val="center"/>
              <w:rPr>
                <w:rFonts w:hint="eastAsia" w:hAnsi="宋体" w:eastAsia="宋体"/>
                <w:color w:val="auto"/>
                <w:sz w:val="21"/>
                <w:szCs w:val="21"/>
                <w:highlight w:val="none"/>
              </w:rPr>
            </w:pPr>
          </w:p>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eastAsia="宋体"/>
                <w:color w:val="auto"/>
                <w:sz w:val="21"/>
                <w:szCs w:val="21"/>
                <w:highlight w:val="none"/>
                <w:lang w:val="en-US" w:eastAsia="zh-CN"/>
              </w:rPr>
              <w:t>5</w:t>
            </w:r>
            <w:r>
              <w:rPr>
                <w:rFonts w:hint="eastAsia" w:hAnsi="宋体" w:eastAsia="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w:t>
            </w:r>
            <w:r>
              <w:rPr>
                <w:rFonts w:hint="eastAsia" w:hAnsi="宋体" w:eastAsia="宋体"/>
                <w:color w:val="auto"/>
                <w:sz w:val="21"/>
                <w:szCs w:val="21"/>
                <w:highlight w:val="none"/>
              </w:rPr>
              <w:t>安全文明施工保证措施</w:t>
            </w:r>
            <w:r>
              <w:rPr>
                <w:rFonts w:hint="eastAsia" w:ascii="宋体" w:hAnsi="宋体" w:eastAsia="宋体" w:cs="宋体"/>
                <w:color w:val="auto"/>
                <w:sz w:val="21"/>
                <w:szCs w:val="21"/>
                <w:highlight w:val="none"/>
              </w:rPr>
              <w:t>进行评审：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hAnsi="宋体" w:cs="宋体"/>
                <w:color w:val="auto"/>
                <w:sz w:val="21"/>
                <w:szCs w:val="21"/>
                <w:highlight w:val="none"/>
                <w:lang w:eastAsia="zh-CN"/>
              </w:rPr>
              <w:t>上岗人员有相应的上岗证；</w:t>
            </w:r>
            <w:r>
              <w:rPr>
                <w:rFonts w:hint="eastAsia" w:hAnsi="宋体" w:cs="宋体"/>
                <w:color w:val="auto"/>
                <w:sz w:val="21"/>
                <w:szCs w:val="21"/>
                <w:highlight w:val="none"/>
              </w:rPr>
              <w:t>严格遵守国家、省、市有关防火、爆破和施工安全以及文明施工、环卫和城管等规定，</w:t>
            </w:r>
            <w:r>
              <w:rPr>
                <w:rFonts w:hint="eastAsia" w:ascii="宋体" w:hAnsi="宋体" w:eastAsia="宋体" w:cs="宋体"/>
                <w:color w:val="auto"/>
                <w:sz w:val="21"/>
                <w:szCs w:val="21"/>
                <w:highlight w:val="none"/>
              </w:rPr>
              <w:t>管理措施和规章制度规范、完善，</w:t>
            </w:r>
            <w:r>
              <w:rPr>
                <w:rFonts w:hint="eastAsia" w:hAnsi="宋体" w:cs="宋体"/>
                <w:color w:val="auto"/>
                <w:sz w:val="21"/>
                <w:szCs w:val="21"/>
                <w:highlight w:val="none"/>
              </w:rPr>
              <w:t>并制定相应的应急预案，</w:t>
            </w:r>
            <w:r>
              <w:rPr>
                <w:rFonts w:hint="eastAsia" w:ascii="宋体" w:hAnsi="宋体" w:eastAsia="宋体" w:cs="宋体"/>
                <w:color w:val="auto"/>
                <w:sz w:val="21"/>
                <w:szCs w:val="21"/>
                <w:highlight w:val="none"/>
              </w:rPr>
              <w:t>实用性与可行性好，得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eastAsia="zh-CN"/>
              </w:rPr>
              <w:t>配备人员列表；对</w:t>
            </w:r>
            <w:r>
              <w:rPr>
                <w:rFonts w:hint="eastAsia" w:hAnsi="宋体" w:cs="宋体"/>
                <w:color w:val="auto"/>
                <w:sz w:val="21"/>
                <w:szCs w:val="21"/>
                <w:highlight w:val="none"/>
              </w:rPr>
              <w:t>国家、省、市有关防火、爆破和施工安全以及文明施工、环卫和城管等规定</w:t>
            </w:r>
            <w:r>
              <w:rPr>
                <w:rFonts w:hint="eastAsia" w:hAnsi="宋体" w:cs="宋体"/>
                <w:color w:val="auto"/>
                <w:sz w:val="21"/>
                <w:szCs w:val="21"/>
                <w:highlight w:val="none"/>
                <w:lang w:eastAsia="zh-CN"/>
              </w:rPr>
              <w:t>基本了解</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 xml:space="preserve">管理措施和规章制度的规范性、完善度较差，实用性与可行性较差， </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无相关描述不得分。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响应工期的承诺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满足用户需求书要求工期的基础上，对</w:t>
            </w:r>
            <w:r>
              <w:rPr>
                <w:rFonts w:hint="eastAsia" w:ascii="宋体" w:hAnsi="宋体" w:eastAsia="宋体" w:cs="宋体"/>
                <w:color w:val="auto"/>
                <w:sz w:val="21"/>
                <w:szCs w:val="21"/>
                <w:highlight w:val="none"/>
                <w:lang w:eastAsia="zh-CN"/>
              </w:rPr>
              <w:t>各供应商</w:t>
            </w:r>
            <w:r>
              <w:rPr>
                <w:rFonts w:hint="eastAsia" w:ascii="宋体" w:hAnsi="宋体" w:eastAsia="宋体" w:cs="宋体"/>
                <w:color w:val="auto"/>
                <w:sz w:val="21"/>
                <w:szCs w:val="21"/>
                <w:highlight w:val="none"/>
              </w:rPr>
              <w:t>响应工期的承诺进行</w:t>
            </w:r>
            <w:r>
              <w:rPr>
                <w:rFonts w:hint="eastAsia" w:ascii="宋体" w:hAnsi="宋体" w:eastAsia="宋体" w:cs="宋体"/>
                <w:color w:val="auto"/>
                <w:sz w:val="21"/>
                <w:szCs w:val="21"/>
                <w:highlight w:val="none"/>
                <w:lang w:eastAsia="zh-CN"/>
              </w:rPr>
              <w:t>横向</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提前工期天数由高至低排名第1名的，得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zh-CN"/>
              </w:rPr>
              <w:t>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名或以下的不得</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分</w:t>
            </w:r>
            <w:r>
              <w:rPr>
                <w:rFonts w:hint="eastAsia" w:hAnsi="宋体" w:cs="宋体"/>
                <w:color w:val="auto"/>
                <w:sz w:val="21"/>
                <w:szCs w:val="21"/>
                <w:highlight w:val="none"/>
                <w:lang w:val="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5</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eastAsia="zh-CN"/>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6分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提供的售后免费延保承诺进行评审，每延长半年得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注：提供单独的承诺函加盖公章。</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制定的项目质量保证措施进行评分：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hAnsi="宋体" w:cs="宋体"/>
                <w:color w:val="auto"/>
                <w:sz w:val="21"/>
                <w:szCs w:val="21"/>
                <w:highlight w:val="none"/>
                <w:lang w:val="zh-CN"/>
              </w:rPr>
              <w:t>能提供现行有效的施工验收规范和相关法规、规定的依据文件，</w:t>
            </w:r>
            <w:r>
              <w:rPr>
                <w:rFonts w:hint="eastAsia" w:ascii="宋体" w:hAnsi="宋体" w:eastAsia="宋体" w:cs="宋体"/>
                <w:color w:val="auto"/>
                <w:sz w:val="21"/>
                <w:szCs w:val="21"/>
                <w:highlight w:val="none"/>
                <w:lang w:val="zh-CN"/>
              </w:rPr>
              <w:t>对</w:t>
            </w:r>
            <w:r>
              <w:rPr>
                <w:rFonts w:hint="eastAsia" w:hAnsi="宋体" w:cs="宋体"/>
                <w:color w:val="auto"/>
                <w:sz w:val="21"/>
                <w:szCs w:val="21"/>
                <w:highlight w:val="none"/>
                <w:lang w:val="zh-CN"/>
              </w:rPr>
              <w:t>应</w:t>
            </w:r>
            <w:r>
              <w:rPr>
                <w:rFonts w:hint="eastAsia" w:ascii="宋体" w:hAnsi="宋体" w:eastAsia="宋体" w:cs="宋体"/>
                <w:color w:val="auto"/>
                <w:sz w:val="21"/>
                <w:szCs w:val="21"/>
                <w:highlight w:val="none"/>
                <w:lang w:val="zh-CN"/>
              </w:rPr>
              <w:t>质量标准的执行明确，保证措施</w:t>
            </w:r>
            <w:r>
              <w:rPr>
                <w:rFonts w:hint="eastAsia" w:hAnsi="宋体" w:cs="宋体"/>
                <w:color w:val="auto"/>
                <w:sz w:val="21"/>
                <w:szCs w:val="21"/>
                <w:highlight w:val="none"/>
                <w:lang w:val="zh-CN"/>
              </w:rPr>
              <w:t>合理</w:t>
            </w:r>
            <w:r>
              <w:rPr>
                <w:rFonts w:hint="eastAsia" w:ascii="宋体" w:hAnsi="宋体" w:eastAsia="宋体" w:cs="宋体"/>
                <w:color w:val="auto"/>
                <w:sz w:val="21"/>
                <w:szCs w:val="21"/>
                <w:highlight w:val="none"/>
                <w:lang w:val="zh-CN"/>
              </w:rPr>
              <w:t>、具体可行、针对性强，得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hAnsi="宋体" w:cs="宋体"/>
                <w:color w:val="auto"/>
                <w:sz w:val="21"/>
                <w:szCs w:val="21"/>
                <w:highlight w:val="none"/>
                <w:lang w:val="zh-CN"/>
              </w:rPr>
              <w:t>对现有执行的验收规定基本了解；</w:t>
            </w:r>
            <w:r>
              <w:rPr>
                <w:rFonts w:hint="eastAsia" w:ascii="宋体" w:hAnsi="宋体" w:eastAsia="宋体" w:cs="宋体"/>
                <w:color w:val="auto"/>
                <w:sz w:val="21"/>
                <w:szCs w:val="21"/>
                <w:highlight w:val="none"/>
                <w:lang w:val="zh-CN"/>
              </w:rPr>
              <w:t>对质量标准的执行较明确合理，保证措施较</w:t>
            </w:r>
            <w:r>
              <w:rPr>
                <w:rFonts w:hint="eastAsia" w:hAnsi="宋体" w:cs="宋体"/>
                <w:color w:val="auto"/>
                <w:sz w:val="21"/>
                <w:szCs w:val="21"/>
                <w:highlight w:val="none"/>
                <w:lang w:val="zh-CN"/>
              </w:rPr>
              <w:t>妥当</w:t>
            </w:r>
            <w:r>
              <w:rPr>
                <w:rFonts w:hint="eastAsia" w:ascii="宋体" w:hAnsi="宋体" w:eastAsia="宋体" w:cs="宋体"/>
                <w:color w:val="auto"/>
                <w:sz w:val="21"/>
                <w:szCs w:val="21"/>
                <w:highlight w:val="none"/>
                <w:lang w:val="zh-CN"/>
              </w:rPr>
              <w:t>、可行性较好，得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zh-CN"/>
              </w:rPr>
              <w:t>差</w:t>
            </w:r>
            <w:r>
              <w:rPr>
                <w:rFonts w:hint="eastAsia" w:ascii="宋体" w:hAnsi="宋体" w:eastAsia="宋体" w:cs="宋体"/>
                <w:color w:val="auto"/>
                <w:sz w:val="21"/>
                <w:szCs w:val="21"/>
                <w:highlight w:val="none"/>
                <w:lang w:val="zh-CN"/>
              </w:rPr>
              <w:t>：对质量标准的执行一般，保证措施一般；</w:t>
            </w:r>
            <w:r>
              <w:rPr>
                <w:rFonts w:hint="eastAsia" w:hAnsi="宋体" w:cs="宋体"/>
                <w:color w:val="auto"/>
                <w:sz w:val="21"/>
                <w:szCs w:val="21"/>
                <w:highlight w:val="none"/>
                <w:lang w:val="zh-CN"/>
              </w:rPr>
              <w:t>或</w:t>
            </w:r>
            <w:r>
              <w:rPr>
                <w:rFonts w:hint="eastAsia" w:ascii="宋体" w:hAnsi="宋体" w:eastAsia="宋体" w:cs="宋体"/>
                <w:color w:val="auto"/>
                <w:sz w:val="21"/>
                <w:szCs w:val="21"/>
                <w:highlight w:val="none"/>
                <w:lang w:val="zh-CN"/>
              </w:rPr>
              <w:t>无提供对应方案不得分。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①</w:t>
      </w:r>
      <w:r>
        <w:rPr>
          <w:rFonts w:hint="eastAsia" w:hAnsi="宋体"/>
          <w:color w:val="auto"/>
          <w:sz w:val="21"/>
          <w:szCs w:val="21"/>
          <w:highlight w:val="none"/>
        </w:rPr>
        <w:t>响应文件中报价一览表内容与响应文件明细表内容不一致的，以报价一览表为准；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②</w:t>
      </w:r>
      <w:r>
        <w:rPr>
          <w:rFonts w:hint="eastAsia" w:hAnsi="宋体"/>
          <w:color w:val="auto"/>
          <w:sz w:val="21"/>
          <w:szCs w:val="21"/>
          <w:highlight w:val="none"/>
        </w:rPr>
        <w:t>响应文件的大写金额和小写金额不一致的，以大写金额为准；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③</w:t>
      </w:r>
      <w:r>
        <w:rPr>
          <w:rFonts w:hint="eastAsia" w:hAnsi="宋体"/>
          <w:color w:val="auto"/>
          <w:sz w:val="21"/>
          <w:szCs w:val="21"/>
          <w:highlight w:val="none"/>
        </w:rPr>
        <w:t>单价金额小数点</w:t>
      </w:r>
      <w:r>
        <w:rPr>
          <w:rFonts w:hint="eastAsia" w:hAnsi="宋体"/>
          <w:color w:val="auto"/>
          <w:sz w:val="21"/>
          <w:szCs w:val="21"/>
          <w:highlight w:val="none"/>
          <w:lang w:eastAsia="zh-CN"/>
        </w:rPr>
        <w:t>或者百分比</w:t>
      </w:r>
      <w:r>
        <w:rPr>
          <w:rFonts w:hint="eastAsia" w:hAnsi="宋体"/>
          <w:color w:val="auto"/>
          <w:sz w:val="21"/>
          <w:szCs w:val="21"/>
          <w:highlight w:val="none"/>
        </w:rPr>
        <w:t>有明显错位的，以报价一览表</w:t>
      </w:r>
      <w:r>
        <w:rPr>
          <w:rFonts w:hint="eastAsia" w:hAnsi="宋体"/>
          <w:color w:val="auto"/>
          <w:sz w:val="21"/>
          <w:szCs w:val="21"/>
          <w:highlight w:val="none"/>
          <w:lang w:eastAsia="zh-CN"/>
        </w:rPr>
        <w:t>的总价</w:t>
      </w:r>
      <w:r>
        <w:rPr>
          <w:rFonts w:hint="eastAsia" w:hAnsi="宋体"/>
          <w:color w:val="auto"/>
          <w:sz w:val="21"/>
          <w:szCs w:val="21"/>
          <w:highlight w:val="none"/>
        </w:rPr>
        <w:t>为准，并修改</w:t>
      </w:r>
      <w:r>
        <w:rPr>
          <w:rFonts w:hint="eastAsia" w:hAnsi="宋体"/>
          <w:color w:val="auto"/>
          <w:sz w:val="21"/>
          <w:szCs w:val="21"/>
          <w:highlight w:val="none"/>
          <w:lang w:eastAsia="zh-CN"/>
        </w:rPr>
        <w:t>单</w:t>
      </w:r>
      <w:r>
        <w:rPr>
          <w:rFonts w:hint="eastAsia" w:hAnsi="宋体"/>
          <w:color w:val="auto"/>
          <w:sz w:val="21"/>
          <w:szCs w:val="21"/>
          <w:highlight w:val="none"/>
        </w:rPr>
        <w:t>价；</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④</w:t>
      </w:r>
      <w:r>
        <w:rPr>
          <w:rFonts w:hint="eastAsia" w:hAnsi="宋体"/>
          <w:color w:val="auto"/>
          <w:sz w:val="21"/>
          <w:szCs w:val="21"/>
          <w:highlight w:val="none"/>
        </w:rPr>
        <w:t>总价金额与按单价汇总金额不一致的，以单价金额计算结果为准；</w:t>
      </w:r>
    </w:p>
    <w:p>
      <w:pPr>
        <w:spacing w:line="360" w:lineRule="auto"/>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⑤同时出现两种以上不一致的，按前款规定的顺序修正</w:t>
      </w:r>
      <w:r>
        <w:rPr>
          <w:rFonts w:hint="eastAsia" w:hAnsi="宋体"/>
          <w:color w:val="auto"/>
          <w:sz w:val="21"/>
          <w:szCs w:val="21"/>
          <w:highlight w:val="none"/>
        </w:rPr>
        <w:t>。</w:t>
      </w:r>
      <w:r>
        <w:rPr>
          <w:rFonts w:hint="eastAsia" w:hAnsi="宋体"/>
          <w:color w:val="auto"/>
          <w:sz w:val="21"/>
          <w:szCs w:val="21"/>
          <w:highlight w:val="none"/>
          <w:lang w:eastAsia="zh-CN"/>
        </w:rPr>
        <w:t>修正后的报价按照本篇</w:t>
      </w:r>
      <w:r>
        <w:rPr>
          <w:rFonts w:hint="eastAsia" w:hAnsi="宋体"/>
          <w:color w:val="auto"/>
          <w:sz w:val="21"/>
          <w:szCs w:val="21"/>
          <w:highlight w:val="none"/>
          <w:lang w:val="en-US" w:eastAsia="zh-CN"/>
        </w:rPr>
        <w:t>20.1的规定经供应商确认后产生约束力，供应商不确认的，其磋商无效。</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pStyle w:val="4"/>
        <w:keepNext/>
        <w:keepLines/>
        <w:pageBreakBefore/>
        <w:numPr>
          <w:ilvl w:val="0"/>
          <w:numId w:val="15"/>
        </w:numPr>
        <w:spacing w:line="360" w:lineRule="auto"/>
        <w:jc w:val="center"/>
        <w:rPr>
          <w:rFonts w:hAnsi="宋体"/>
          <w:b/>
          <w:bCs/>
          <w:color w:val="auto"/>
          <w:highlight w:val="none"/>
        </w:rPr>
      </w:pPr>
      <w:bookmarkStart w:id="195" w:name="_Toc28639"/>
      <w:r>
        <w:rPr>
          <w:rFonts w:hint="eastAsia" w:hAnsi="宋体"/>
          <w:b/>
          <w:bCs/>
          <w:color w:val="auto"/>
          <w:kern w:val="44"/>
          <w:sz w:val="28"/>
          <w:szCs w:val="28"/>
          <w:highlight w:val="none"/>
          <w:lang w:val="zh-CN"/>
        </w:rPr>
        <w:t>合同条款格式</w:t>
      </w:r>
      <w:bookmarkEnd w:id="195"/>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松山湖大学创新城创投大厦A、B塔配套服务用房完善项目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（四）本工程按合同总价一次包干：乙方包工包料、包机械设备、包承包期、包质量、包安全、包税收；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96"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hAnsi="宋体" w:cs="宋体"/>
          <w:color w:val="auto"/>
          <w:sz w:val="21"/>
          <w:szCs w:val="21"/>
          <w:highlight w:val="none"/>
        </w:rPr>
        <w:t>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96"/>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97" w:name="_Toc220295274"/>
      <w:bookmarkStart w:id="198" w:name="_Toc220293671"/>
      <w:bookmarkStart w:id="199" w:name="_Toc300242200"/>
      <w:bookmarkStart w:id="200" w:name="_Toc240269407"/>
      <w:bookmarkStart w:id="201" w:name="_Toc220292602"/>
      <w:bookmarkStart w:id="202" w:name="_Toc220294650"/>
      <w:bookmarkStart w:id="203" w:name="_Toc220294962"/>
      <w:bookmarkStart w:id="204" w:name="_Toc174269088"/>
      <w:bookmarkStart w:id="205" w:name="_Toc257904141"/>
      <w:bookmarkStart w:id="206" w:name="_Toc229302932"/>
      <w:bookmarkStart w:id="207" w:name="_Toc299660262"/>
      <w:bookmarkStart w:id="208" w:name="_Toc220293325"/>
      <w:bookmarkStart w:id="209" w:name="_Toc174273244"/>
      <w:bookmarkStart w:id="210" w:name="_Toc229302590"/>
      <w:bookmarkStart w:id="211" w:name="_Toc299659890"/>
      <w:bookmarkStart w:id="212" w:name="_Toc246408540"/>
      <w:bookmarkStart w:id="213" w:name="_Toc299660633"/>
      <w:bookmarkStart w:id="214" w:name="_Toc299746078"/>
      <w:bookmarkStart w:id="215" w:name="_Toc243986907"/>
      <w:bookmarkStart w:id="216" w:name="_Toc220292915"/>
      <w:r>
        <w:rPr>
          <w:rFonts w:hint="eastAsia" w:hAnsi="宋体" w:cs="宋体"/>
          <w:color w:val="auto"/>
          <w:sz w:val="21"/>
          <w:szCs w:val="21"/>
          <w:highlight w:val="none"/>
        </w:rPr>
        <w:t>2.乙方已恰当履行了约定的义务。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600" w:lineRule="exact"/>
        <w:ind w:firstLine="422" w:firstLineChars="200"/>
        <w:textAlignment w:val="baseline"/>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line="600" w:lineRule="exact"/>
        <w:ind w:firstLine="420" w:firstLineChars="200"/>
        <w:textAlignment w:val="baseline"/>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7"/>
        <w:rPr>
          <w:rFonts w:hint="eastAsia" w:hAnsi="宋体" w:cs="宋体"/>
          <w:color w:val="auto"/>
          <w:sz w:val="21"/>
          <w:szCs w:val="21"/>
          <w:highlight w:val="none"/>
          <w:shd w:val="clear" w:color="auto" w:fill="FFFFFF"/>
        </w:rPr>
      </w:pPr>
    </w:p>
    <w:p>
      <w:pPr>
        <w:pStyle w:val="7"/>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     月     日签署了《……》（以下简称原合同），为加强双方阳光合作，保证职员职业安全，甲乙双方经协商签订本协议并作为双方共同遵守的阳光合作行为准则。</w:t>
      </w:r>
    </w:p>
    <w:p>
      <w:pPr>
        <w:widowControl/>
        <w:numPr>
          <w:ilvl w:val="0"/>
          <w:numId w:val="17"/>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7"/>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7"/>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217" w:name="现场签证通知单"/>
      <w:bookmarkEnd w:id="217"/>
      <w:bookmarkStart w:id="218" w:name="设计变更通知单"/>
      <w:bookmarkEnd w:id="218"/>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keepNext/>
        <w:keepLines/>
        <w:pageBreakBefore/>
        <w:spacing w:line="360" w:lineRule="auto"/>
        <w:jc w:val="center"/>
        <w:rPr>
          <w:rFonts w:hAnsi="宋体"/>
          <w:b/>
          <w:bCs/>
          <w:color w:val="auto"/>
          <w:kern w:val="44"/>
          <w:sz w:val="28"/>
          <w:szCs w:val="28"/>
          <w:highlight w:val="none"/>
          <w:lang w:val="zh-CN"/>
        </w:rPr>
      </w:pPr>
      <w:bookmarkStart w:id="219" w:name="_Toc396137242"/>
      <w:bookmarkStart w:id="220" w:name="_Toc19235"/>
      <w:r>
        <w:rPr>
          <w:rFonts w:hint="eastAsia" w:hAnsi="宋体"/>
          <w:b/>
          <w:bCs/>
          <w:color w:val="auto"/>
          <w:kern w:val="44"/>
          <w:sz w:val="28"/>
          <w:szCs w:val="28"/>
          <w:highlight w:val="none"/>
          <w:lang w:val="zh-CN"/>
        </w:rPr>
        <w:t>第六篇磋商响应文件格式</w:t>
      </w:r>
      <w:bookmarkEnd w:id="219"/>
      <w:bookmarkEnd w:id="220"/>
    </w:p>
    <w:p>
      <w:pPr>
        <w:ind w:firstLine="1800" w:firstLineChars="750"/>
        <w:rPr>
          <w:rFonts w:hAnsi="宋体"/>
          <w:color w:val="auto"/>
          <w:highlight w:val="none"/>
        </w:rPr>
      </w:pPr>
    </w:p>
    <w:p>
      <w:pPr>
        <w:pStyle w:val="5"/>
        <w:jc w:val="center"/>
        <w:rPr>
          <w:color w:val="auto"/>
          <w:sz w:val="28"/>
          <w:szCs w:val="28"/>
          <w:highlight w:val="none"/>
        </w:rPr>
      </w:pPr>
      <w:bookmarkStart w:id="221" w:name="_Toc9566"/>
      <w:bookmarkStart w:id="222" w:name="_Toc19311"/>
      <w:bookmarkStart w:id="223" w:name="_Toc27876"/>
      <w:r>
        <w:rPr>
          <w:rFonts w:hint="eastAsia"/>
          <w:color w:val="auto"/>
          <w:sz w:val="28"/>
          <w:szCs w:val="28"/>
          <w:highlight w:val="none"/>
        </w:rPr>
        <w:t>第一部分 价格文件（单独编制装订成册）</w:t>
      </w:r>
      <w:bookmarkEnd w:id="221"/>
      <w:bookmarkEnd w:id="222"/>
      <w:bookmarkEnd w:id="223"/>
    </w:p>
    <w:p>
      <w:pPr>
        <w:ind w:firstLine="1800" w:firstLineChars="750"/>
        <w:rPr>
          <w:rFonts w:hAnsi="宋体"/>
          <w:color w:val="auto"/>
          <w:highlight w:val="none"/>
        </w:rPr>
      </w:pPr>
    </w:p>
    <w:p>
      <w:pPr>
        <w:pStyle w:val="5"/>
        <w:numPr>
          <w:ilvl w:val="0"/>
          <w:numId w:val="18"/>
        </w:numPr>
        <w:jc w:val="center"/>
        <w:rPr>
          <w:color w:val="auto"/>
          <w:sz w:val="28"/>
          <w:szCs w:val="28"/>
          <w:highlight w:val="none"/>
        </w:rPr>
      </w:pPr>
      <w:bookmarkStart w:id="224" w:name="_Toc22824"/>
      <w:bookmarkStart w:id="225" w:name="_Toc20730"/>
      <w:bookmarkStart w:id="226" w:name="_Toc7897888"/>
      <w:bookmarkStart w:id="227" w:name="_Toc12373"/>
      <w:bookmarkStart w:id="228" w:name="_Toc467236769"/>
      <w:bookmarkStart w:id="229" w:name="_Toc458262639"/>
      <w:bookmarkStart w:id="230" w:name="_Toc476976201"/>
      <w:bookmarkStart w:id="231" w:name="_Toc454701406"/>
      <w:bookmarkStart w:id="232" w:name="_Toc486671573"/>
      <w:bookmarkStart w:id="233" w:name="_Toc15960"/>
      <w:bookmarkStart w:id="234" w:name="_Toc2544"/>
      <w:bookmarkStart w:id="235" w:name="_Toc28095"/>
      <w:bookmarkStart w:id="236" w:name="_Toc18848"/>
      <w:bookmarkStart w:id="237" w:name="_Toc12383"/>
      <w:bookmarkStart w:id="238" w:name="_Toc19671"/>
      <w:bookmarkStart w:id="239" w:name="_Toc32736"/>
      <w:bookmarkStart w:id="240" w:name="_Toc30637"/>
      <w:bookmarkStart w:id="241" w:name="_Toc9348"/>
      <w:bookmarkStart w:id="242" w:name="_Toc29841"/>
      <w:bookmarkStart w:id="243" w:name="_Toc32405"/>
      <w:bookmarkStart w:id="244" w:name="_Toc396137244"/>
      <w:bookmarkStart w:id="245" w:name="_Toc32273"/>
      <w:r>
        <w:rPr>
          <w:rFonts w:hint="eastAsia"/>
          <w:color w:val="auto"/>
          <w:sz w:val="28"/>
          <w:szCs w:val="28"/>
          <w:highlight w:val="none"/>
        </w:rPr>
        <w:t>报价一览表</w:t>
      </w:r>
      <w:bookmarkEnd w:id="224"/>
      <w:bookmarkEnd w:id="225"/>
      <w:bookmarkEnd w:id="226"/>
      <w:bookmarkEnd w:id="227"/>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2"/>
        <w:gridCol w:w="2209"/>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382"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209"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382"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TTWY-22014</w:t>
            </w:r>
          </w:p>
        </w:tc>
        <w:tc>
          <w:tcPr>
            <w:tcW w:w="2209"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松山湖大学创新城创投大厦A、B塔配套服务用房完善项目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Merge w:val="restart"/>
            <w:vAlign w:val="center"/>
          </w:tcPr>
          <w:p>
            <w:pPr>
              <w:overflowPunct w:val="0"/>
              <w:spacing w:line="460" w:lineRule="exac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税率：</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382" w:type="dxa"/>
            <w:vMerge w:val="continue"/>
            <w:vAlign w:val="center"/>
          </w:tcPr>
          <w:p>
            <w:pPr>
              <w:overflowPunct w:val="0"/>
              <w:spacing w:line="460" w:lineRule="exact"/>
              <w:jc w:val="center"/>
              <w:rPr>
                <w:rFonts w:hAnsi="宋体"/>
                <w:color w:val="auto"/>
                <w:sz w:val="21"/>
                <w:szCs w:val="21"/>
                <w:highlight w:val="none"/>
              </w:rPr>
            </w:pPr>
          </w:p>
        </w:tc>
        <w:tc>
          <w:tcPr>
            <w:tcW w:w="2209"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Merge w:val="continue"/>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w:t>
      </w:r>
      <w:bookmarkEnd w:id="228"/>
      <w:bookmarkEnd w:id="229"/>
      <w:bookmarkEnd w:id="230"/>
      <w:bookmarkEnd w:id="231"/>
      <w:bookmarkEnd w:id="232"/>
      <w:r>
        <w:rPr>
          <w:rFonts w:hint="eastAsia"/>
          <w:color w:val="auto"/>
          <w:sz w:val="21"/>
          <w:szCs w:val="21"/>
          <w:highlight w:val="none"/>
        </w:rPr>
        <w:t>中文大写金额用汉字，总报价大写以“零、壹、贰、叁、肆、伍、陆、柒、捌、玖、拾、佰、仟、万、亿、元、角、分”填报，下浮率大写以“零、一、二、三、四、五、六、七、八、九、百分之” 填报。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233"/>
    <w:bookmarkEnd w:id="234"/>
    <w:bookmarkEnd w:id="235"/>
    <w:bookmarkEnd w:id="236"/>
    <w:bookmarkEnd w:id="237"/>
    <w:bookmarkEnd w:id="238"/>
    <w:bookmarkEnd w:id="239"/>
    <w:bookmarkEnd w:id="240"/>
    <w:bookmarkEnd w:id="241"/>
    <w:bookmarkEnd w:id="242"/>
    <w:bookmarkEnd w:id="243"/>
    <w:bookmarkEnd w:id="244"/>
    <w:bookmarkEnd w:id="245"/>
    <w:p>
      <w:pPr>
        <w:pStyle w:val="5"/>
        <w:pageBreakBefore/>
        <w:spacing w:line="360" w:lineRule="auto"/>
        <w:jc w:val="center"/>
        <w:rPr>
          <w:bCs/>
          <w:color w:val="auto"/>
          <w:sz w:val="28"/>
          <w:szCs w:val="28"/>
          <w:highlight w:val="none"/>
        </w:rPr>
      </w:pPr>
      <w:bookmarkStart w:id="246" w:name="_Toc18450"/>
      <w:bookmarkStart w:id="247" w:name="_Toc12158"/>
      <w:bookmarkStart w:id="248" w:name="_Toc6962"/>
      <w:bookmarkStart w:id="249" w:name="_Toc7897890"/>
      <w:bookmarkStart w:id="250" w:name="_Toc458262638"/>
      <w:bookmarkStart w:id="251" w:name="_Toc486671572"/>
      <w:bookmarkStart w:id="252" w:name="_Toc454701405"/>
      <w:bookmarkStart w:id="253" w:name="_Toc467236768"/>
      <w:bookmarkStart w:id="254" w:name="_Toc27849"/>
      <w:bookmarkStart w:id="255" w:name="_Toc476976200"/>
      <w:bookmarkStart w:id="256" w:name="_Toc110953866"/>
      <w:bookmarkStart w:id="257" w:name="_Toc467987856"/>
      <w:bookmarkStart w:id="258" w:name="_Toc480021085"/>
      <w:bookmarkStart w:id="259" w:name="_Toc480020289"/>
      <w:bookmarkStart w:id="260" w:name="_Toc480010742"/>
      <w:bookmarkStart w:id="261" w:name="_Toc468606064"/>
      <w:bookmarkStart w:id="262" w:name="_Toc468157569"/>
      <w:bookmarkStart w:id="263" w:name="_Toc479991616"/>
      <w:r>
        <w:rPr>
          <w:rFonts w:hint="eastAsia"/>
          <w:bCs/>
          <w:color w:val="auto"/>
          <w:sz w:val="28"/>
          <w:szCs w:val="28"/>
          <w:highlight w:val="none"/>
        </w:rPr>
        <w:t>第二部分  商务文件</w:t>
      </w:r>
      <w:bookmarkEnd w:id="246"/>
      <w:bookmarkEnd w:id="247"/>
      <w:bookmarkEnd w:id="248"/>
      <w:bookmarkStart w:id="264" w:name="_Hlt10456397"/>
      <w:bookmarkEnd w:id="264"/>
      <w:bookmarkStart w:id="265" w:name="_Hlt10519799"/>
      <w:bookmarkEnd w:id="265"/>
    </w:p>
    <w:p>
      <w:pPr>
        <w:rPr>
          <w:color w:val="auto"/>
          <w:highlight w:val="none"/>
        </w:rPr>
      </w:pPr>
    </w:p>
    <w:p>
      <w:pPr>
        <w:pStyle w:val="5"/>
        <w:numPr>
          <w:ilvl w:val="0"/>
          <w:numId w:val="19"/>
        </w:numPr>
        <w:jc w:val="center"/>
        <w:rPr>
          <w:b w:val="0"/>
          <w:color w:val="auto"/>
          <w:sz w:val="28"/>
          <w:szCs w:val="28"/>
          <w:highlight w:val="none"/>
        </w:rPr>
      </w:pPr>
      <w:bookmarkStart w:id="266" w:name="_Toc3646"/>
      <w:bookmarkStart w:id="267" w:name="_Toc18728"/>
      <w:r>
        <w:rPr>
          <w:rFonts w:hint="eastAsia"/>
          <w:color w:val="auto"/>
          <w:sz w:val="28"/>
          <w:szCs w:val="28"/>
          <w:highlight w:val="none"/>
        </w:rPr>
        <w:t>响应书</w:t>
      </w:r>
      <w:bookmarkEnd w:id="249"/>
      <w:bookmarkEnd w:id="250"/>
      <w:bookmarkEnd w:id="251"/>
      <w:bookmarkEnd w:id="252"/>
      <w:bookmarkEnd w:id="253"/>
      <w:bookmarkEnd w:id="254"/>
      <w:bookmarkEnd w:id="255"/>
      <w:bookmarkEnd w:id="266"/>
      <w:bookmarkEnd w:id="267"/>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9"/>
        </w:numPr>
        <w:jc w:val="center"/>
        <w:rPr>
          <w:bCs/>
          <w:color w:val="auto"/>
          <w:sz w:val="28"/>
          <w:szCs w:val="28"/>
          <w:highlight w:val="none"/>
        </w:rPr>
      </w:pPr>
      <w:r>
        <w:rPr>
          <w:color w:val="auto"/>
          <w:sz w:val="22"/>
          <w:szCs w:val="22"/>
          <w:highlight w:val="none"/>
        </w:rPr>
        <w:br w:type="page"/>
      </w:r>
      <w:bookmarkStart w:id="268" w:name="_Toc31943"/>
      <w:bookmarkStart w:id="269" w:name="_Toc7897891"/>
      <w:bookmarkStart w:id="270" w:name="_Toc10808"/>
      <w:bookmarkStart w:id="271" w:name="_Toc24721"/>
      <w:r>
        <w:rPr>
          <w:rFonts w:hint="eastAsia"/>
          <w:bCs/>
          <w:color w:val="auto"/>
          <w:sz w:val="28"/>
          <w:szCs w:val="28"/>
          <w:highlight w:val="none"/>
        </w:rPr>
        <w:t>法定代表人证明书</w:t>
      </w:r>
      <w:bookmarkEnd w:id="268"/>
      <w:bookmarkEnd w:id="269"/>
      <w:bookmarkEnd w:id="270"/>
      <w:bookmarkEnd w:id="271"/>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9"/>
        </w:numPr>
        <w:jc w:val="center"/>
        <w:rPr>
          <w:bCs/>
          <w:color w:val="auto"/>
          <w:sz w:val="28"/>
          <w:szCs w:val="28"/>
          <w:highlight w:val="none"/>
        </w:rPr>
      </w:pPr>
      <w:r>
        <w:rPr>
          <w:rFonts w:hint="eastAsia"/>
          <w:bCs/>
          <w:color w:val="auto"/>
          <w:sz w:val="28"/>
          <w:szCs w:val="28"/>
          <w:highlight w:val="none"/>
        </w:rPr>
        <w:br w:type="page"/>
      </w:r>
      <w:bookmarkStart w:id="272" w:name="_Toc7897892"/>
      <w:bookmarkStart w:id="273" w:name="_Toc19634"/>
      <w:bookmarkStart w:id="274" w:name="_Toc28882"/>
      <w:bookmarkStart w:id="275" w:name="_Toc8809"/>
      <w:r>
        <w:rPr>
          <w:rFonts w:hint="eastAsia"/>
          <w:bCs/>
          <w:color w:val="auto"/>
          <w:sz w:val="28"/>
          <w:szCs w:val="28"/>
          <w:highlight w:val="none"/>
        </w:rPr>
        <w:t>授权委托书（加法人证明书）</w:t>
      </w:r>
      <w:bookmarkEnd w:id="272"/>
      <w:bookmarkEnd w:id="273"/>
      <w:bookmarkEnd w:id="274"/>
      <w:bookmarkEnd w:id="275"/>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76" w:name="_Toc4592"/>
      <w:bookmarkStart w:id="277" w:name="_Toc7897893"/>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9"/>
        </w:numPr>
        <w:jc w:val="center"/>
        <w:rPr>
          <w:color w:val="auto"/>
          <w:sz w:val="28"/>
          <w:szCs w:val="28"/>
          <w:highlight w:val="none"/>
        </w:rPr>
      </w:pPr>
      <w:bookmarkStart w:id="278" w:name="_Toc17363"/>
      <w:bookmarkStart w:id="279" w:name="_Toc16606"/>
      <w:r>
        <w:rPr>
          <w:rFonts w:hint="eastAsia"/>
          <w:color w:val="auto"/>
          <w:sz w:val="28"/>
          <w:szCs w:val="28"/>
          <w:highlight w:val="none"/>
        </w:rPr>
        <w:t>供应商基本情况说明</w:t>
      </w:r>
      <w:bookmarkEnd w:id="276"/>
      <w:bookmarkEnd w:id="277"/>
      <w:bookmarkEnd w:id="278"/>
      <w:bookmarkEnd w:id="279"/>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9"/>
        </w:numPr>
        <w:jc w:val="center"/>
        <w:rPr>
          <w:b w:val="0"/>
          <w:color w:val="auto"/>
          <w:sz w:val="28"/>
          <w:szCs w:val="28"/>
          <w:highlight w:val="none"/>
          <w:u w:val="single"/>
        </w:rPr>
      </w:pPr>
      <w:r>
        <w:rPr>
          <w:color w:val="auto"/>
          <w:sz w:val="22"/>
          <w:szCs w:val="22"/>
          <w:highlight w:val="none"/>
        </w:rPr>
        <w:br w:type="page"/>
      </w:r>
      <w:bookmarkStart w:id="280" w:name="_Toc17704"/>
      <w:bookmarkStart w:id="281" w:name="_Toc7897894"/>
      <w:bookmarkStart w:id="282" w:name="_Toc27094"/>
      <w:bookmarkStart w:id="283" w:name="_Toc20023"/>
      <w:r>
        <w:rPr>
          <w:rFonts w:hint="eastAsia"/>
          <w:bCs/>
          <w:color w:val="auto"/>
          <w:sz w:val="28"/>
          <w:szCs w:val="28"/>
          <w:highlight w:val="none"/>
        </w:rPr>
        <w:t>偏离表</w:t>
      </w:r>
      <w:bookmarkEnd w:id="256"/>
      <w:bookmarkEnd w:id="280"/>
      <w:bookmarkEnd w:id="281"/>
      <w:bookmarkEnd w:id="282"/>
      <w:bookmarkEnd w:id="283"/>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9"/>
        </w:numPr>
        <w:jc w:val="center"/>
        <w:rPr>
          <w:rFonts w:ascii="Calibri" w:hAnsi="Times New Roman"/>
          <w:color w:val="auto"/>
          <w:sz w:val="28"/>
          <w:szCs w:val="28"/>
          <w:highlight w:val="none"/>
        </w:rPr>
      </w:pPr>
      <w:bookmarkStart w:id="284" w:name="_Toc8299"/>
      <w:bookmarkStart w:id="285" w:name="_Toc28149"/>
      <w:bookmarkStart w:id="286" w:name="_Toc31965"/>
      <w:bookmarkStart w:id="287"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84"/>
      <w:bookmarkEnd w:id="285"/>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9"/>
        </w:numPr>
        <w:jc w:val="center"/>
        <w:rPr>
          <w:color w:val="auto"/>
          <w:sz w:val="28"/>
          <w:szCs w:val="28"/>
          <w:highlight w:val="none"/>
        </w:rPr>
      </w:pPr>
      <w:bookmarkStart w:id="288" w:name="_Toc12735"/>
      <w:bookmarkStart w:id="289" w:name="_Toc29072"/>
      <w:r>
        <w:rPr>
          <w:rFonts w:hint="eastAsia"/>
          <w:bCs/>
          <w:color w:val="auto"/>
          <w:sz w:val="28"/>
          <w:szCs w:val="28"/>
          <w:highlight w:val="none"/>
        </w:rPr>
        <w:t>供应商所获资质或奖项证书一览表</w:t>
      </w:r>
      <w:bookmarkEnd w:id="286"/>
      <w:bookmarkEnd w:id="287"/>
      <w:bookmarkEnd w:id="288"/>
      <w:bookmarkEnd w:id="289"/>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9"/>
        </w:numPr>
        <w:jc w:val="center"/>
        <w:rPr>
          <w:color w:val="auto"/>
          <w:sz w:val="28"/>
          <w:szCs w:val="28"/>
          <w:highlight w:val="none"/>
        </w:rPr>
      </w:pPr>
      <w:r>
        <w:rPr>
          <w:color w:val="auto"/>
          <w:highlight w:val="none"/>
        </w:rPr>
        <w:br w:type="page"/>
      </w:r>
      <w:bookmarkStart w:id="290" w:name="_Toc4884"/>
      <w:bookmarkStart w:id="291" w:name="_Toc20397"/>
      <w:bookmarkStart w:id="292" w:name="_Toc7897896"/>
      <w:bookmarkStart w:id="293" w:name="_Toc4539"/>
      <w:r>
        <w:rPr>
          <w:rFonts w:hint="eastAsia"/>
          <w:bCs/>
          <w:color w:val="auto"/>
          <w:sz w:val="28"/>
          <w:szCs w:val="28"/>
          <w:highlight w:val="none"/>
        </w:rPr>
        <w:t>项目业绩一览表</w:t>
      </w:r>
      <w:bookmarkEnd w:id="290"/>
      <w:bookmarkEnd w:id="291"/>
      <w:bookmarkEnd w:id="292"/>
      <w:bookmarkEnd w:id="293"/>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9"/>
        </w:numPr>
        <w:jc w:val="center"/>
        <w:rPr>
          <w:b w:val="0"/>
          <w:bCs/>
          <w:color w:val="auto"/>
          <w:sz w:val="28"/>
          <w:highlight w:val="none"/>
        </w:rPr>
      </w:pPr>
      <w:r>
        <w:rPr>
          <w:color w:val="auto"/>
          <w:sz w:val="22"/>
          <w:szCs w:val="22"/>
          <w:highlight w:val="none"/>
        </w:rPr>
        <w:br w:type="page"/>
      </w:r>
      <w:bookmarkStart w:id="294" w:name="_Toc17432"/>
      <w:bookmarkStart w:id="295" w:name="_Toc7897897"/>
      <w:bookmarkStart w:id="296" w:name="_Toc23633"/>
      <w:bookmarkStart w:id="297" w:name="_Toc1591"/>
      <w:r>
        <w:rPr>
          <w:rFonts w:hint="eastAsia"/>
          <w:bCs/>
          <w:color w:val="auto"/>
          <w:sz w:val="28"/>
          <w:highlight w:val="none"/>
        </w:rPr>
        <w:t>在经营活动中没有重大违法记录的书面声明</w:t>
      </w:r>
      <w:bookmarkEnd w:id="294"/>
      <w:bookmarkEnd w:id="295"/>
      <w:bookmarkEnd w:id="296"/>
      <w:bookmarkEnd w:id="297"/>
    </w:p>
    <w:p>
      <w:pPr>
        <w:pStyle w:val="75"/>
        <w:ind w:firstLine="0" w:firstLineChars="0"/>
        <w:jc w:val="center"/>
        <w:rPr>
          <w:rFonts w:ascii="宋体" w:eastAsia="宋体"/>
          <w:b/>
          <w:color w:val="auto"/>
          <w:sz w:val="28"/>
          <w:highlight w:val="none"/>
        </w:rPr>
      </w:pPr>
    </w:p>
    <w:p>
      <w:pPr>
        <w:spacing w:line="360" w:lineRule="auto"/>
        <w:rPr>
          <w:rFonts w:hint="eastAsia" w:hAnsi="宋体" w:eastAsia="宋体"/>
          <w:color w:val="auto"/>
          <w:sz w:val="21"/>
          <w:szCs w:val="21"/>
          <w:highlight w:val="none"/>
          <w:u w:val="single"/>
          <w:lang w:eastAsia="zh-CN"/>
        </w:rPr>
      </w:pPr>
      <w:r>
        <w:rPr>
          <w:rFonts w:hint="eastAsia" w:hAnsi="宋体"/>
          <w:color w:val="auto"/>
          <w:sz w:val="21"/>
          <w:szCs w:val="21"/>
          <w:highlight w:val="none"/>
        </w:rPr>
        <w:t>致：</w:t>
      </w:r>
      <w:r>
        <w:rPr>
          <w:rFonts w:hint="eastAsia" w:hAnsi="宋体"/>
          <w:color w:val="auto"/>
          <w:sz w:val="21"/>
          <w:szCs w:val="21"/>
          <w:highlight w:val="none"/>
          <w:lang w:eastAsia="zh-CN"/>
        </w:rPr>
        <w:t>广东泰通伟业工程咨询有限公司</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57"/>
    <w:bookmarkEnd w:id="258"/>
    <w:bookmarkEnd w:id="259"/>
    <w:bookmarkEnd w:id="260"/>
    <w:bookmarkEnd w:id="261"/>
    <w:bookmarkEnd w:id="262"/>
    <w:bookmarkEnd w:id="263"/>
    <w:p>
      <w:pPr>
        <w:pStyle w:val="5"/>
        <w:numPr>
          <w:ilvl w:val="0"/>
          <w:numId w:val="19"/>
        </w:numPr>
        <w:jc w:val="center"/>
        <w:rPr>
          <w:b w:val="0"/>
          <w:color w:val="auto"/>
          <w:sz w:val="28"/>
          <w:szCs w:val="28"/>
          <w:highlight w:val="none"/>
        </w:rPr>
      </w:pPr>
      <w:bookmarkStart w:id="298" w:name="_Toc110953865"/>
      <w:bookmarkStart w:id="299" w:name="_Toc467987857"/>
      <w:bookmarkStart w:id="300" w:name="_Toc35233726"/>
      <w:bookmarkStart w:id="301" w:name="_Toc468606065"/>
      <w:bookmarkStart w:id="302" w:name="_Toc454701411"/>
      <w:bookmarkStart w:id="303" w:name="_Toc458262644"/>
      <w:bookmarkStart w:id="304" w:name="_Toc479991617"/>
      <w:bookmarkStart w:id="305" w:name="_Toc480021086"/>
      <w:bookmarkStart w:id="306" w:name="_Toc480010743"/>
      <w:bookmarkStart w:id="307" w:name="_Toc467236774"/>
      <w:bookmarkStart w:id="308" w:name="_Toc480171915"/>
      <w:bookmarkStart w:id="309" w:name="_Toc480020290"/>
      <w:bookmarkStart w:id="310" w:name="_Toc468157570"/>
      <w:r>
        <w:rPr>
          <w:color w:val="auto"/>
          <w:sz w:val="22"/>
          <w:szCs w:val="22"/>
          <w:highlight w:val="none"/>
        </w:rPr>
        <w:br w:type="page"/>
      </w:r>
      <w:bookmarkEnd w:id="298"/>
      <w:bookmarkStart w:id="311" w:name="_Toc7897900"/>
      <w:bookmarkStart w:id="312" w:name="_Toc2461"/>
      <w:bookmarkStart w:id="313" w:name="_Toc8181"/>
      <w:bookmarkStart w:id="314" w:name="_Toc3298"/>
      <w:r>
        <w:rPr>
          <w:rFonts w:hint="eastAsia"/>
          <w:color w:val="auto"/>
          <w:sz w:val="28"/>
          <w:szCs w:val="28"/>
          <w:highlight w:val="none"/>
        </w:rPr>
        <w:t>针对本项目拟派人员及其技术资格一览表</w:t>
      </w:r>
      <w:bookmarkEnd w:id="311"/>
      <w:bookmarkEnd w:id="312"/>
      <w:bookmarkEnd w:id="313"/>
      <w:bookmarkEnd w:id="314"/>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9"/>
        </w:numPr>
        <w:jc w:val="center"/>
        <w:rPr>
          <w:bCs/>
          <w:color w:val="auto"/>
          <w:sz w:val="28"/>
          <w:szCs w:val="28"/>
          <w:highlight w:val="none"/>
        </w:rPr>
      </w:pPr>
      <w:r>
        <w:rPr>
          <w:bCs/>
          <w:color w:val="auto"/>
          <w:szCs w:val="21"/>
          <w:highlight w:val="none"/>
        </w:rPr>
        <w:br w:type="page"/>
      </w:r>
      <w:bookmarkEnd w:id="299"/>
      <w:bookmarkEnd w:id="300"/>
      <w:bookmarkEnd w:id="301"/>
      <w:bookmarkEnd w:id="302"/>
      <w:bookmarkEnd w:id="303"/>
      <w:bookmarkEnd w:id="304"/>
      <w:bookmarkEnd w:id="305"/>
      <w:bookmarkEnd w:id="306"/>
      <w:bookmarkEnd w:id="307"/>
      <w:bookmarkEnd w:id="308"/>
      <w:bookmarkEnd w:id="309"/>
      <w:bookmarkEnd w:id="310"/>
      <w:bookmarkStart w:id="315" w:name="_Toc13441"/>
      <w:bookmarkStart w:id="316" w:name="_Toc25401"/>
      <w:r>
        <w:rPr>
          <w:rFonts w:hint="eastAsia"/>
          <w:bCs/>
          <w:color w:val="auto"/>
          <w:sz w:val="28"/>
          <w:szCs w:val="28"/>
          <w:highlight w:val="none"/>
        </w:rPr>
        <w:t>磋商保证金汇入情况说明（适用于转账、电汇方式）</w:t>
      </w:r>
      <w:bookmarkEnd w:id="315"/>
      <w:bookmarkEnd w:id="316"/>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317" w:name="_Toc20966"/>
      <w:bookmarkStart w:id="318" w:name="_Toc19888"/>
      <w:bookmarkStart w:id="319" w:name="_Toc9633"/>
      <w:r>
        <w:rPr>
          <w:rFonts w:hint="eastAsia"/>
          <w:bCs/>
          <w:color w:val="auto"/>
          <w:sz w:val="28"/>
          <w:szCs w:val="28"/>
          <w:highlight w:val="none"/>
        </w:rPr>
        <w:t>第三部分 技术文件</w:t>
      </w:r>
      <w:bookmarkEnd w:id="317"/>
      <w:bookmarkEnd w:id="318"/>
      <w:bookmarkEnd w:id="319"/>
    </w:p>
    <w:p>
      <w:pPr>
        <w:jc w:val="center"/>
        <w:rPr>
          <w:color w:val="auto"/>
          <w:highlight w:val="none"/>
        </w:rPr>
      </w:pPr>
    </w:p>
    <w:p>
      <w:pPr>
        <w:pStyle w:val="5"/>
        <w:numPr>
          <w:ilvl w:val="0"/>
          <w:numId w:val="20"/>
        </w:numPr>
        <w:jc w:val="center"/>
        <w:rPr>
          <w:color w:val="auto"/>
          <w:highlight w:val="none"/>
        </w:rPr>
      </w:pPr>
      <w:bookmarkStart w:id="320" w:name="_Toc15167"/>
      <w:bookmarkStart w:id="321" w:name="_Toc31683"/>
      <w:bookmarkStart w:id="322" w:name="_Toc24064"/>
      <w:bookmarkStart w:id="323" w:name="_Toc25949"/>
      <w:bookmarkStart w:id="324" w:name="_Toc28884"/>
      <w:bookmarkStart w:id="325" w:name="_Toc9540"/>
      <w:bookmarkStart w:id="326" w:name="_Toc1852"/>
      <w:bookmarkStart w:id="327" w:name="_Toc9579"/>
      <w:bookmarkStart w:id="328" w:name="_Toc16593"/>
      <w:r>
        <w:rPr>
          <w:rFonts w:hint="eastAsia"/>
          <w:color w:val="auto"/>
          <w:highlight w:val="none"/>
        </w:rPr>
        <w:t>技术方案</w:t>
      </w:r>
      <w:bookmarkEnd w:id="320"/>
      <w:bookmarkEnd w:id="321"/>
      <w:bookmarkEnd w:id="322"/>
      <w:bookmarkEnd w:id="323"/>
      <w:bookmarkEnd w:id="324"/>
      <w:bookmarkEnd w:id="325"/>
      <w:bookmarkEnd w:id="326"/>
      <w:bookmarkEnd w:id="327"/>
      <w:bookmarkEnd w:id="328"/>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20"/>
        </w:numPr>
        <w:jc w:val="center"/>
        <w:rPr>
          <w:color w:val="auto"/>
          <w:highlight w:val="none"/>
        </w:rPr>
      </w:pPr>
      <w:bookmarkStart w:id="329" w:name="_Toc11036"/>
      <w:bookmarkStart w:id="330" w:name="_Toc30049"/>
      <w:bookmarkStart w:id="331" w:name="_Toc28953"/>
      <w:bookmarkStart w:id="332" w:name="_Toc23849"/>
      <w:bookmarkStart w:id="333" w:name="_Toc24947"/>
      <w:bookmarkStart w:id="334" w:name="_Toc15530"/>
      <w:bookmarkStart w:id="335" w:name="_Toc9619"/>
      <w:bookmarkStart w:id="336" w:name="_Toc12278"/>
      <w:bookmarkStart w:id="337" w:name="_Toc28663"/>
      <w:r>
        <w:rPr>
          <w:rFonts w:hint="eastAsia"/>
          <w:color w:val="auto"/>
          <w:highlight w:val="none"/>
        </w:rPr>
        <w:t>其他资料</w:t>
      </w:r>
      <w:bookmarkEnd w:id="329"/>
      <w:bookmarkEnd w:id="330"/>
      <w:bookmarkEnd w:id="331"/>
      <w:bookmarkEnd w:id="332"/>
      <w:bookmarkEnd w:id="333"/>
      <w:bookmarkEnd w:id="334"/>
      <w:bookmarkEnd w:id="335"/>
      <w:bookmarkEnd w:id="336"/>
      <w:bookmarkEnd w:id="337"/>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338" w:name="_Toc17492"/>
      <w:bookmarkStart w:id="339" w:name="_Toc10390"/>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38"/>
      <w:bookmarkEnd w:id="339"/>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40"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40"/>
    <w:p>
      <w:pPr>
        <w:rPr>
          <w:color w:val="auto"/>
          <w:highlight w:val="none"/>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时尚中黑简体">
    <w:altName w:val="黑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D67D3B19"/>
    <w:multiLevelType w:val="singleLevel"/>
    <w:tmpl w:val="D67D3B19"/>
    <w:lvl w:ilvl="0" w:tentative="0">
      <w:start w:val="1"/>
      <w:numFmt w:val="decimal"/>
      <w:lvlText w:val="%1."/>
      <w:lvlJc w:val="left"/>
      <w:pPr>
        <w:ind w:left="425" w:hanging="425"/>
      </w:pPr>
      <w:rPr>
        <w:rFonts w:hint="default"/>
      </w:rPr>
    </w:lvl>
  </w:abstractNum>
  <w:abstractNum w:abstractNumId="2">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3">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4">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4">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6">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7">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8">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tentative="0">
      <w:start w:val="7"/>
      <w:numFmt w:val="decimal"/>
      <w:suff w:val="nothing"/>
      <w:lvlText w:val="%1)"/>
      <w:lvlJc w:val="left"/>
    </w:lvl>
  </w:abstractNum>
  <w:num w:numId="1">
    <w:abstractNumId w:val="9"/>
  </w:num>
  <w:num w:numId="2">
    <w:abstractNumId w:val="16"/>
  </w:num>
  <w:num w:numId="3">
    <w:abstractNumId w:val="17"/>
  </w:num>
  <w:num w:numId="4">
    <w:abstractNumId w:val="13"/>
  </w:num>
  <w:num w:numId="5">
    <w:abstractNumId w:val="10"/>
  </w:num>
  <w:num w:numId="6">
    <w:abstractNumId w:val="7"/>
  </w:num>
  <w:num w:numId="7">
    <w:abstractNumId w:val="5"/>
  </w:num>
  <w:num w:numId="8">
    <w:abstractNumId w:val="8"/>
  </w:num>
  <w:num w:numId="9">
    <w:abstractNumId w:val="14"/>
  </w:num>
  <w:num w:numId="10">
    <w:abstractNumId w:val="12"/>
  </w:num>
  <w:num w:numId="11">
    <w:abstractNumId w:val="11"/>
  </w:num>
  <w:num w:numId="12">
    <w:abstractNumId w:val="4"/>
  </w:num>
  <w:num w:numId="13">
    <w:abstractNumId w:val="2"/>
  </w:num>
  <w:num w:numId="14">
    <w:abstractNumId w:val="1"/>
  </w:num>
  <w:num w:numId="15">
    <w:abstractNumId w:val="6"/>
  </w:num>
  <w:num w:numId="16">
    <w:abstractNumId w:val="1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E1005"/>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D459F"/>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630778"/>
    <w:rsid w:val="01857C73"/>
    <w:rsid w:val="01A12C3F"/>
    <w:rsid w:val="01D142D7"/>
    <w:rsid w:val="021F4C81"/>
    <w:rsid w:val="02414B92"/>
    <w:rsid w:val="028366E4"/>
    <w:rsid w:val="02A56B80"/>
    <w:rsid w:val="02B5383F"/>
    <w:rsid w:val="02C560C8"/>
    <w:rsid w:val="02F741FF"/>
    <w:rsid w:val="03077BF2"/>
    <w:rsid w:val="03240B2D"/>
    <w:rsid w:val="03404A6C"/>
    <w:rsid w:val="035324D3"/>
    <w:rsid w:val="036719BE"/>
    <w:rsid w:val="036D4CFA"/>
    <w:rsid w:val="038413BE"/>
    <w:rsid w:val="038C71B9"/>
    <w:rsid w:val="03C53166"/>
    <w:rsid w:val="0437435F"/>
    <w:rsid w:val="043948C2"/>
    <w:rsid w:val="0441683D"/>
    <w:rsid w:val="04897AAE"/>
    <w:rsid w:val="048D3C72"/>
    <w:rsid w:val="04946A57"/>
    <w:rsid w:val="049E01CA"/>
    <w:rsid w:val="04AA7A54"/>
    <w:rsid w:val="04DC1E95"/>
    <w:rsid w:val="05056F9C"/>
    <w:rsid w:val="053B507A"/>
    <w:rsid w:val="054D0BA9"/>
    <w:rsid w:val="056B6415"/>
    <w:rsid w:val="056F7E9D"/>
    <w:rsid w:val="05A04252"/>
    <w:rsid w:val="05B531D5"/>
    <w:rsid w:val="05D70893"/>
    <w:rsid w:val="05D879EE"/>
    <w:rsid w:val="05EF3BF5"/>
    <w:rsid w:val="061B4DCC"/>
    <w:rsid w:val="0631131C"/>
    <w:rsid w:val="0684556E"/>
    <w:rsid w:val="06AA1BC6"/>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35418"/>
    <w:rsid w:val="0B192E69"/>
    <w:rsid w:val="0B1E5674"/>
    <w:rsid w:val="0B481D54"/>
    <w:rsid w:val="0BA32867"/>
    <w:rsid w:val="0C2B4087"/>
    <w:rsid w:val="0C405D06"/>
    <w:rsid w:val="0C5F45C4"/>
    <w:rsid w:val="0C6352C9"/>
    <w:rsid w:val="0C694A19"/>
    <w:rsid w:val="0C6E22F8"/>
    <w:rsid w:val="0C752414"/>
    <w:rsid w:val="0C781DA4"/>
    <w:rsid w:val="0CA4014A"/>
    <w:rsid w:val="0CD86DE7"/>
    <w:rsid w:val="0CF9441B"/>
    <w:rsid w:val="0CFE63A4"/>
    <w:rsid w:val="0D0807FC"/>
    <w:rsid w:val="0D33119A"/>
    <w:rsid w:val="0D4A2577"/>
    <w:rsid w:val="0D4D7EA2"/>
    <w:rsid w:val="0D596969"/>
    <w:rsid w:val="0D6D348A"/>
    <w:rsid w:val="0D8B7595"/>
    <w:rsid w:val="0D9C0739"/>
    <w:rsid w:val="0D9D63EA"/>
    <w:rsid w:val="0DC77E1F"/>
    <w:rsid w:val="0DE500C7"/>
    <w:rsid w:val="0E30061A"/>
    <w:rsid w:val="0E693E94"/>
    <w:rsid w:val="0EAB15DF"/>
    <w:rsid w:val="0EBD4ECC"/>
    <w:rsid w:val="0EC12B61"/>
    <w:rsid w:val="0ECB16D0"/>
    <w:rsid w:val="0F0F3E67"/>
    <w:rsid w:val="0F36681E"/>
    <w:rsid w:val="0F554B61"/>
    <w:rsid w:val="0FA658B8"/>
    <w:rsid w:val="0FA725F9"/>
    <w:rsid w:val="0FB125A0"/>
    <w:rsid w:val="0FF75B36"/>
    <w:rsid w:val="1007384E"/>
    <w:rsid w:val="101A42BE"/>
    <w:rsid w:val="10603F12"/>
    <w:rsid w:val="107962EB"/>
    <w:rsid w:val="107D7A08"/>
    <w:rsid w:val="10C4053D"/>
    <w:rsid w:val="10CE53A7"/>
    <w:rsid w:val="10D064F7"/>
    <w:rsid w:val="10D24A7B"/>
    <w:rsid w:val="10D763F7"/>
    <w:rsid w:val="10DA580F"/>
    <w:rsid w:val="11065CD9"/>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7C1299"/>
    <w:rsid w:val="139726F4"/>
    <w:rsid w:val="139B4F53"/>
    <w:rsid w:val="13CE5FC4"/>
    <w:rsid w:val="13F53443"/>
    <w:rsid w:val="144C6770"/>
    <w:rsid w:val="144D471F"/>
    <w:rsid w:val="147778EA"/>
    <w:rsid w:val="14943CCC"/>
    <w:rsid w:val="149D6F99"/>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5B4107"/>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DA1355"/>
    <w:rsid w:val="1B006539"/>
    <w:rsid w:val="1B194961"/>
    <w:rsid w:val="1B195DEC"/>
    <w:rsid w:val="1B285C20"/>
    <w:rsid w:val="1B4A6BAE"/>
    <w:rsid w:val="1B4B370A"/>
    <w:rsid w:val="1B537FF8"/>
    <w:rsid w:val="1B767B01"/>
    <w:rsid w:val="1B860FD9"/>
    <w:rsid w:val="1BB05E26"/>
    <w:rsid w:val="1BB20FFF"/>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F77DC5"/>
    <w:rsid w:val="1F383ACC"/>
    <w:rsid w:val="1F596305"/>
    <w:rsid w:val="1F8811C7"/>
    <w:rsid w:val="1F9062F5"/>
    <w:rsid w:val="1FEB5C6A"/>
    <w:rsid w:val="202209B9"/>
    <w:rsid w:val="20254CE5"/>
    <w:rsid w:val="20280066"/>
    <w:rsid w:val="202C0E96"/>
    <w:rsid w:val="20304AD2"/>
    <w:rsid w:val="203B6599"/>
    <w:rsid w:val="204F6722"/>
    <w:rsid w:val="20902778"/>
    <w:rsid w:val="20AF30C4"/>
    <w:rsid w:val="20B147CB"/>
    <w:rsid w:val="20C20F88"/>
    <w:rsid w:val="20FD5C7C"/>
    <w:rsid w:val="21096CBA"/>
    <w:rsid w:val="2115662C"/>
    <w:rsid w:val="21361A04"/>
    <w:rsid w:val="214418DF"/>
    <w:rsid w:val="21B95143"/>
    <w:rsid w:val="21C04FD1"/>
    <w:rsid w:val="21D0339E"/>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6D3E9B"/>
    <w:rsid w:val="2A783D0E"/>
    <w:rsid w:val="2A9C0461"/>
    <w:rsid w:val="2AD0515C"/>
    <w:rsid w:val="2AE8528D"/>
    <w:rsid w:val="2AF16E8B"/>
    <w:rsid w:val="2B0B7CEC"/>
    <w:rsid w:val="2B27452A"/>
    <w:rsid w:val="2B2D4BDC"/>
    <w:rsid w:val="2B4503EF"/>
    <w:rsid w:val="2B767712"/>
    <w:rsid w:val="2BBA7AC6"/>
    <w:rsid w:val="2BFC26B9"/>
    <w:rsid w:val="2C18391D"/>
    <w:rsid w:val="2C3C0A88"/>
    <w:rsid w:val="2C596FFF"/>
    <w:rsid w:val="2C70340D"/>
    <w:rsid w:val="2C7F51A8"/>
    <w:rsid w:val="2C9A17D6"/>
    <w:rsid w:val="2CA6566A"/>
    <w:rsid w:val="2CAE7599"/>
    <w:rsid w:val="2CB749B3"/>
    <w:rsid w:val="2CBB6294"/>
    <w:rsid w:val="2CBF39BD"/>
    <w:rsid w:val="2D016EDC"/>
    <w:rsid w:val="2D197980"/>
    <w:rsid w:val="2D2E04D4"/>
    <w:rsid w:val="2D3878C4"/>
    <w:rsid w:val="2D3A4057"/>
    <w:rsid w:val="2D5343E6"/>
    <w:rsid w:val="2D994DBE"/>
    <w:rsid w:val="2DD53F02"/>
    <w:rsid w:val="2E0A0263"/>
    <w:rsid w:val="2E2F66DA"/>
    <w:rsid w:val="2E73484D"/>
    <w:rsid w:val="2E734C4D"/>
    <w:rsid w:val="2E9A7164"/>
    <w:rsid w:val="2ED21188"/>
    <w:rsid w:val="2EE1137A"/>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5F7F70"/>
    <w:rsid w:val="31AB6658"/>
    <w:rsid w:val="31BC3F1B"/>
    <w:rsid w:val="31C37B9C"/>
    <w:rsid w:val="32137CF0"/>
    <w:rsid w:val="321E50BD"/>
    <w:rsid w:val="32224344"/>
    <w:rsid w:val="32340C69"/>
    <w:rsid w:val="32363F32"/>
    <w:rsid w:val="32471F5A"/>
    <w:rsid w:val="3253078F"/>
    <w:rsid w:val="325E3A96"/>
    <w:rsid w:val="32883C32"/>
    <w:rsid w:val="32B7356F"/>
    <w:rsid w:val="330C088A"/>
    <w:rsid w:val="330D0F43"/>
    <w:rsid w:val="332A5E08"/>
    <w:rsid w:val="333E728C"/>
    <w:rsid w:val="33447B02"/>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5E22DCF"/>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8E489F"/>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302C27"/>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366DBD"/>
    <w:rsid w:val="454746D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A14FC5"/>
    <w:rsid w:val="46B27CB1"/>
    <w:rsid w:val="46D34E98"/>
    <w:rsid w:val="47001117"/>
    <w:rsid w:val="471F283E"/>
    <w:rsid w:val="47246805"/>
    <w:rsid w:val="47492E75"/>
    <w:rsid w:val="474F7F9F"/>
    <w:rsid w:val="475F3AC1"/>
    <w:rsid w:val="47863C68"/>
    <w:rsid w:val="479A2ED2"/>
    <w:rsid w:val="47B328B4"/>
    <w:rsid w:val="47C13542"/>
    <w:rsid w:val="48113D01"/>
    <w:rsid w:val="484C7B11"/>
    <w:rsid w:val="485E0A04"/>
    <w:rsid w:val="48740F1D"/>
    <w:rsid w:val="48761BE3"/>
    <w:rsid w:val="489E0EB1"/>
    <w:rsid w:val="48A4548A"/>
    <w:rsid w:val="48A57E1F"/>
    <w:rsid w:val="48B50D92"/>
    <w:rsid w:val="48DE3BBF"/>
    <w:rsid w:val="48E77164"/>
    <w:rsid w:val="49051B72"/>
    <w:rsid w:val="491D19DF"/>
    <w:rsid w:val="49304CB2"/>
    <w:rsid w:val="496F6EBE"/>
    <w:rsid w:val="497526AF"/>
    <w:rsid w:val="49814F4C"/>
    <w:rsid w:val="49A364F7"/>
    <w:rsid w:val="49B42429"/>
    <w:rsid w:val="49C4569B"/>
    <w:rsid w:val="4A074043"/>
    <w:rsid w:val="4A090DC7"/>
    <w:rsid w:val="4A091441"/>
    <w:rsid w:val="4A14567E"/>
    <w:rsid w:val="4A1E6180"/>
    <w:rsid w:val="4A2308FE"/>
    <w:rsid w:val="4A281B7F"/>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6726C0"/>
    <w:rsid w:val="4C7C0669"/>
    <w:rsid w:val="4C850277"/>
    <w:rsid w:val="4C9904F2"/>
    <w:rsid w:val="4D2572CD"/>
    <w:rsid w:val="4D354FF0"/>
    <w:rsid w:val="4D46134F"/>
    <w:rsid w:val="4D4C32B8"/>
    <w:rsid w:val="4DBB048A"/>
    <w:rsid w:val="4DE07DE4"/>
    <w:rsid w:val="4DF5709E"/>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9C236E"/>
    <w:rsid w:val="51BB2BF3"/>
    <w:rsid w:val="51FD0367"/>
    <w:rsid w:val="52377D55"/>
    <w:rsid w:val="526239CC"/>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8C03E5"/>
    <w:rsid w:val="56E60496"/>
    <w:rsid w:val="57374E0B"/>
    <w:rsid w:val="57444728"/>
    <w:rsid w:val="575B090B"/>
    <w:rsid w:val="577439B5"/>
    <w:rsid w:val="57926FF9"/>
    <w:rsid w:val="57E6509B"/>
    <w:rsid w:val="57E738F8"/>
    <w:rsid w:val="57EB5B27"/>
    <w:rsid w:val="57EC2D60"/>
    <w:rsid w:val="58263426"/>
    <w:rsid w:val="583C0E12"/>
    <w:rsid w:val="58741EB5"/>
    <w:rsid w:val="58A14304"/>
    <w:rsid w:val="58A3772F"/>
    <w:rsid w:val="58B57CAD"/>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AE8436A"/>
    <w:rsid w:val="5B050809"/>
    <w:rsid w:val="5B366061"/>
    <w:rsid w:val="5B3846E5"/>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B6EDD"/>
    <w:rsid w:val="5D806796"/>
    <w:rsid w:val="5D827D40"/>
    <w:rsid w:val="5DC43C07"/>
    <w:rsid w:val="5DCA3A55"/>
    <w:rsid w:val="5DCD3255"/>
    <w:rsid w:val="5DFB3FA8"/>
    <w:rsid w:val="5E33770D"/>
    <w:rsid w:val="5E532ADD"/>
    <w:rsid w:val="5E610B28"/>
    <w:rsid w:val="5E66579C"/>
    <w:rsid w:val="5E91320F"/>
    <w:rsid w:val="5E915A7A"/>
    <w:rsid w:val="5EA33A97"/>
    <w:rsid w:val="5EBC6ED0"/>
    <w:rsid w:val="5ED134B6"/>
    <w:rsid w:val="5EF55DBA"/>
    <w:rsid w:val="5F405E83"/>
    <w:rsid w:val="5F6B1358"/>
    <w:rsid w:val="5FC51458"/>
    <w:rsid w:val="5FC866E5"/>
    <w:rsid w:val="5FCB1E8F"/>
    <w:rsid w:val="5FDC13D8"/>
    <w:rsid w:val="60090629"/>
    <w:rsid w:val="60413F7F"/>
    <w:rsid w:val="60482F15"/>
    <w:rsid w:val="60660F52"/>
    <w:rsid w:val="606A3C6B"/>
    <w:rsid w:val="609B5019"/>
    <w:rsid w:val="60B4769E"/>
    <w:rsid w:val="610242F6"/>
    <w:rsid w:val="6119401A"/>
    <w:rsid w:val="611D2CA6"/>
    <w:rsid w:val="61200642"/>
    <w:rsid w:val="61467F1B"/>
    <w:rsid w:val="61652DB1"/>
    <w:rsid w:val="61970BE7"/>
    <w:rsid w:val="61A20E5D"/>
    <w:rsid w:val="61F17268"/>
    <w:rsid w:val="6208174D"/>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3DB551D"/>
    <w:rsid w:val="64090834"/>
    <w:rsid w:val="64116EAE"/>
    <w:rsid w:val="64272A3B"/>
    <w:rsid w:val="6467063D"/>
    <w:rsid w:val="648F4A0E"/>
    <w:rsid w:val="64937E71"/>
    <w:rsid w:val="6495646A"/>
    <w:rsid w:val="649F7880"/>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612FAA"/>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9C42D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202E8E"/>
    <w:rsid w:val="7B565D97"/>
    <w:rsid w:val="7BA57F90"/>
    <w:rsid w:val="7BBC18FF"/>
    <w:rsid w:val="7C100290"/>
    <w:rsid w:val="7C151FE3"/>
    <w:rsid w:val="7C1D63E0"/>
    <w:rsid w:val="7C203139"/>
    <w:rsid w:val="7C2925EF"/>
    <w:rsid w:val="7C463AF9"/>
    <w:rsid w:val="7C691C0E"/>
    <w:rsid w:val="7C7654E0"/>
    <w:rsid w:val="7C9D56FC"/>
    <w:rsid w:val="7C9E2AE3"/>
    <w:rsid w:val="7CA34E3A"/>
    <w:rsid w:val="7CDE5607"/>
    <w:rsid w:val="7D0D23F8"/>
    <w:rsid w:val="7D1819A4"/>
    <w:rsid w:val="7D57537E"/>
    <w:rsid w:val="7D79413D"/>
    <w:rsid w:val="7D872924"/>
    <w:rsid w:val="7D8F5F9C"/>
    <w:rsid w:val="7E180A37"/>
    <w:rsid w:val="7E252BD1"/>
    <w:rsid w:val="7E2D4483"/>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7"/>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74</Pages>
  <Words>35674</Words>
  <Characters>38531</Characters>
  <Lines>28</Lines>
  <Paragraphs>46</Paragraphs>
  <TotalTime>0</TotalTime>
  <ScaleCrop>false</ScaleCrop>
  <LinksUpToDate>false</LinksUpToDate>
  <CharactersWithSpaces>39554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2022-04-02T09:10:21Z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2355A843FE154491897130599DA14842</vt:lpwstr>
  </property>
</Properties>
</file>