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0" w:afterAutospacing="0" w:line="360" w:lineRule="auto"/>
        <w:ind w:right="-26"/>
        <w:jc w:val="center"/>
        <w:rPr>
          <w:rFonts w:hAnsi="宋体"/>
          <w:b/>
          <w:color w:val="auto"/>
          <w:sz w:val="72"/>
          <w:highlight w:val="none"/>
        </w:rPr>
      </w:pPr>
    </w:p>
    <w:p>
      <w:pPr>
        <w:pStyle w:val="2"/>
        <w:rPr>
          <w:color w:val="auto"/>
          <w:highlight w:val="none"/>
        </w:rPr>
      </w:pPr>
    </w:p>
    <w:p>
      <w:pPr>
        <w:widowControl/>
        <w:spacing w:beforeAutospacing="0" w:afterAutospacing="0" w:line="360" w:lineRule="auto"/>
        <w:ind w:right="-26"/>
        <w:jc w:val="center"/>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jc w:val="center"/>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1"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a:gsLst>
                            <a:gs pos="0">
                              <a:srgbClr val="FFFFFF"/>
                            </a:gs>
                            <a:gs pos="100000">
                              <a:srgbClr val="FFFFFF"/>
                            </a:gs>
                          </a:gsLst>
                          <a:lin scaled="0"/>
                          <a:tileRect/>
                        </a:gradFill>
                        <a:ln w="15875">
                          <a:noFill/>
                        </a:ln>
                        <a:effectLst/>
                      </wps:spPr>
                      <wps:txbx>
                        <w:txbxContent>
                          <w:p>
                            <w:pPr>
                              <w:widowControl/>
                              <w:spacing w:beforeAutospacing="0" w:afterAutospacing="0" w:line="360" w:lineRule="auto"/>
                              <w:ind w:left="1606" w:right="-26" w:hanging="1606" w:hangingChars="500"/>
                              <w:jc w:val="both"/>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松山湖大学创新城--零星修缮及局部景观提升项目</w:t>
                            </w:r>
                          </w:p>
                          <w:p>
                            <w:pPr>
                              <w:widowControl/>
                              <w:spacing w:beforeAutospacing="0" w:afterAutospacing="0" w:line="360" w:lineRule="auto"/>
                              <w:ind w:right="-26"/>
                              <w:jc w:val="both"/>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TTWY-23047</w:t>
                            </w:r>
                          </w:p>
                          <w:p>
                            <w:pPr>
                              <w:widowControl/>
                              <w:spacing w:beforeAutospacing="0" w:afterAutospacing="0" w:line="360" w:lineRule="auto"/>
                              <w:ind w:right="-26"/>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rot="0" vert="horz" wrap="square" lIns="91440" tIns="45720" rIns="91440" bIns="45720" anchor="t" anchorCtr="0"/>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w1B3jYAAAACQEAAA8AAAAAAAAAAQAgAAAAIgAAAGRycy9kb3ducmV2LnhtbFBLAQIU&#10;ABQAAAAIAIdO4kA7CwDVLAIAAGwEAAAOAAAAAAAAAAEAIAAAACcBAABkcnMvZTJvRG9jLnhtbFBL&#10;BQYAAAAABgAGAFkBAADFBQAAAAA=&#10;">
                <v:fill type="gradient" on="t" color2="#FFFFFF" angle="90" focus="100%" focussize="0,0" rotate="t">
                  <o:fill type="gradientUnscaled" v:ext="backwardCompatible"/>
                </v:fill>
                <v:stroke on="f" weight="1.25pt"/>
                <v:imagedata o:title=""/>
                <o:lock v:ext="edit" aspectratio="f"/>
                <v:textbox>
                  <w:txbxContent>
                    <w:p>
                      <w:pPr>
                        <w:widowControl/>
                        <w:spacing w:beforeAutospacing="0" w:afterAutospacing="0" w:line="360" w:lineRule="auto"/>
                        <w:ind w:left="1606" w:right="-26" w:hanging="1606" w:hangingChars="500"/>
                        <w:jc w:val="both"/>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松山湖大学创新城--零星修缮及局部景观提升项目</w:t>
                      </w:r>
                    </w:p>
                    <w:p>
                      <w:pPr>
                        <w:widowControl/>
                        <w:spacing w:beforeAutospacing="0" w:afterAutospacing="0" w:line="360" w:lineRule="auto"/>
                        <w:ind w:right="-26"/>
                        <w:jc w:val="both"/>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TTWY-23047</w:t>
                      </w:r>
                    </w:p>
                    <w:p>
                      <w:pPr>
                        <w:widowControl/>
                        <w:spacing w:beforeAutospacing="0" w:afterAutospacing="0" w:line="360" w:lineRule="auto"/>
                        <w:ind w:right="-26"/>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jc w:val="center"/>
        <w:rPr>
          <w:rFonts w:hAnsi="宋体"/>
          <w:b/>
          <w:color w:val="auto"/>
          <w:sz w:val="44"/>
          <w:highlight w:val="none"/>
        </w:rPr>
      </w:pPr>
    </w:p>
    <w:p>
      <w:pPr>
        <w:widowControl/>
        <w:spacing w:beforeAutospacing="0" w:afterAutospacing="0" w:line="360" w:lineRule="auto"/>
        <w:ind w:right="-26"/>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3"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公司logo"/>
                    <pic:cNvPicPr>
                      <a:picLocks noChangeAspect="1"/>
                    </pic:cNvPicPr>
                  </pic:nvPicPr>
                  <pic:blipFill>
                    <a:blip r:embed="rId13" cstate="print"/>
                    <a:srcRect/>
                    <a:stretch>
                      <a:fillRect/>
                    </a:stretch>
                  </pic:blipFill>
                  <pic:spPr>
                    <a:xfrm>
                      <a:off x="0" y="0"/>
                      <a:ext cx="977900" cy="977900"/>
                    </a:xfrm>
                    <a:prstGeom prst="rect">
                      <a:avLst/>
                    </a:prstGeom>
                    <a:ln w="9525" cmpd="sng">
                      <a:noFill/>
                      <a:miter lim="800000"/>
                      <a:headEnd/>
                      <a:tailEnd/>
                    </a:ln>
                    <a:effectLst/>
                  </pic:spPr>
                </pic:pic>
              </a:graphicData>
            </a:graphic>
          </wp:anchor>
        </w:drawing>
      </w:r>
    </w:p>
    <w:p>
      <w:pPr>
        <w:widowControl/>
        <w:spacing w:beforeAutospacing="0" w:afterAutospacing="0" w:line="360" w:lineRule="auto"/>
        <w:ind w:right="-26" w:firstLine="2249" w:firstLineChars="700"/>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beforeAutospacing="0" w:afterAutospacing="0" w:line="360" w:lineRule="auto"/>
        <w:ind w:right="-26" w:hanging="480"/>
        <w:jc w:val="center"/>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三</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九</w:t>
      </w:r>
      <w:r>
        <w:rPr>
          <w:rFonts w:hint="eastAsia" w:ascii="黑体" w:hAnsi="黑体" w:eastAsia="黑体" w:cs="黑体"/>
          <w:b/>
          <w:color w:val="auto"/>
          <w:sz w:val="32"/>
          <w:highlight w:val="none"/>
        </w:rPr>
        <w:t>月</w:t>
      </w:r>
    </w:p>
    <w:p>
      <w:pPr>
        <w:widowControl/>
        <w:spacing w:beforeAutospacing="0" w:afterAutospacing="0" w:line="360" w:lineRule="auto"/>
        <w:ind w:right="-26" w:hanging="480"/>
        <w:jc w:val="center"/>
        <w:rPr>
          <w:rFonts w:ascii="黑体" w:hAnsi="黑体" w:eastAsia="黑体" w:cs="黑体"/>
          <w:b/>
          <w:color w:val="auto"/>
          <w:sz w:val="32"/>
          <w:highlight w:val="none"/>
        </w:rPr>
      </w:pPr>
    </w:p>
    <w:p>
      <w:pPr>
        <w:widowControl/>
        <w:spacing w:beforeAutospacing="0" w:afterAutospacing="0" w:line="360" w:lineRule="auto"/>
        <w:ind w:right="-26" w:hanging="480"/>
        <w:jc w:val="center"/>
        <w:rPr>
          <w:rFonts w:ascii="黑体" w:hAnsi="黑体" w:eastAsia="黑体" w:cs="黑体"/>
          <w:b/>
          <w:color w:val="auto"/>
          <w:sz w:val="32"/>
          <w:highlight w:val="none"/>
        </w:rPr>
      </w:pPr>
    </w:p>
    <w:p>
      <w:pPr>
        <w:widowControl/>
        <w:spacing w:beforeAutospacing="0" w:afterAutospacing="0" w:line="360" w:lineRule="auto"/>
        <w:ind w:right="-26" w:hanging="480"/>
        <w:jc w:val="center"/>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pgSz w:w="11907" w:h="16840"/>
          <w:pgMar w:top="1440" w:right="1800" w:bottom="1440" w:left="1800" w:header="851" w:footer="992" w:gutter="0"/>
          <w:pgNumType w:start="0"/>
          <w:cols w:space="720" w:num="1"/>
          <w:docGrid w:type="lines" w:linePitch="312" w:charSpace="0"/>
        </w:sectPr>
      </w:pPr>
    </w:p>
    <w:p>
      <w:pPr>
        <w:spacing w:beforeAutospacing="0" w:afterAutospacing="0" w:line="360" w:lineRule="auto"/>
        <w:ind w:left="48" w:leftChars="20"/>
        <w:jc w:val="center"/>
        <w:rPr>
          <w:rFonts w:ascii="黑体" w:hAnsi="黑体" w:eastAsia="黑体" w:cs="黑体"/>
          <w:color w:val="auto"/>
          <w:sz w:val="32"/>
          <w:szCs w:val="32"/>
          <w:highlight w:val="none"/>
        </w:rPr>
      </w:pPr>
      <w:bookmarkStart w:id="0"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beforeAutospacing="0" w:afterAutospacing="0" w:line="360" w:lineRule="auto"/>
        <w:ind w:left="48" w:leftChars="20"/>
        <w:jc w:val="center"/>
        <w:rPr>
          <w:rFonts w:ascii="黑体" w:hAnsi="黑体" w:eastAsia="黑体" w:cs="黑体"/>
          <w:color w:val="auto"/>
          <w:sz w:val="32"/>
          <w:szCs w:val="32"/>
          <w:highlight w:val="none"/>
        </w:rPr>
      </w:pP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beforeAutospacing="0" w:afterAutospacing="0"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15"/>
        <w:rPr>
          <w:rFonts w:hAnsi="宋体"/>
          <w:b/>
          <w:bCs/>
          <w:color w:val="auto"/>
          <w:sz w:val="32"/>
          <w:szCs w:val="32"/>
          <w:highlight w:val="none"/>
          <w:lang w:val="zh-CN"/>
        </w:rPr>
      </w:pPr>
    </w:p>
    <w:p>
      <w:pPr>
        <w:pStyle w:val="15"/>
        <w:rPr>
          <w:rFonts w:hAnsi="宋体"/>
          <w:b/>
          <w:bCs/>
          <w:color w:val="auto"/>
          <w:sz w:val="32"/>
          <w:szCs w:val="32"/>
          <w:highlight w:val="none"/>
          <w:lang w:val="zh-CN"/>
        </w:rPr>
      </w:pPr>
    </w:p>
    <w:p>
      <w:pPr>
        <w:rPr>
          <w:rFonts w:hAnsi="宋体"/>
          <w:b/>
          <w:bCs/>
          <w:color w:val="auto"/>
          <w:sz w:val="32"/>
          <w:szCs w:val="32"/>
          <w:highlight w:val="none"/>
          <w:lang w:val="zh-CN"/>
        </w:rPr>
      </w:pPr>
      <w:r>
        <w:rPr>
          <w:rFonts w:hAnsi="宋体"/>
          <w:b/>
          <w:bCs/>
          <w:color w:val="auto"/>
          <w:sz w:val="32"/>
          <w:szCs w:val="32"/>
          <w:highlight w:val="none"/>
          <w:lang w:val="zh-CN"/>
        </w:rPr>
        <w:br w:type="page"/>
      </w:r>
    </w:p>
    <w:p>
      <w:pPr>
        <w:jc w:val="center"/>
        <w:rPr>
          <w:color w:val="auto"/>
          <w:highlight w:val="none"/>
        </w:rPr>
      </w:pPr>
      <w:bookmarkStart w:id="1" w:name="_Toc396137229"/>
      <w:r>
        <w:rPr>
          <w:rFonts w:hAnsi="宋体"/>
          <w:b/>
          <w:bCs/>
          <w:color w:val="auto"/>
          <w:sz w:val="32"/>
          <w:szCs w:val="32"/>
          <w:highlight w:val="none"/>
          <w:lang w:val="zh-CN"/>
        </w:rPr>
        <w:t>目录</w:t>
      </w: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"_Toc27261"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lang w:val="zh-CN"/>
        </w:rPr>
        <w:t xml:space="preserve">第一篇 </w:t>
      </w:r>
      <w:r>
        <w:rPr>
          <w:rFonts w:hint="eastAsia" w:ascii="宋体" w:hAnsi="宋体" w:eastAsia="宋体" w:cs="宋体"/>
          <w:color w:val="auto"/>
          <w:kern w:val="44"/>
          <w:sz w:val="24"/>
          <w:szCs w:val="24"/>
          <w:highlight w:val="none"/>
        </w:rPr>
        <w:t>磋商邀请书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_Toc27261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"_Toc16634"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lang w:val="zh-CN"/>
        </w:rPr>
        <w:t>第二篇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"_Toc22751"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lang w:val="zh-CN"/>
        </w:rPr>
        <w:t>第三篇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_Toc22751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"_Toc13957"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lang w:val="zh-CN"/>
        </w:rPr>
        <w:t>第四篇 评标工作大纲</w:t>
      </w:r>
      <w:bookmarkStart w:id="243" w:name="_GoBack"/>
      <w:bookmarkEnd w:id="243"/>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"_Toc15636"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 xml:space="preserve">第五篇 </w:t>
      </w:r>
      <w:r>
        <w:rPr>
          <w:rFonts w:hint="eastAsia" w:ascii="宋体" w:hAnsi="宋体" w:eastAsia="宋体" w:cs="宋体"/>
          <w:color w:val="auto"/>
          <w:kern w:val="44"/>
          <w:sz w:val="24"/>
          <w:szCs w:val="24"/>
          <w:highlight w:val="none"/>
          <w:lang w:val="zh-CN"/>
        </w:rPr>
        <w:t>合同条款格式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_Toc15636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pPr>
        <w:pStyle w:val="36"/>
        <w:tabs>
          <w:tab w:val="right" w:leader="dot" w:pos="8730"/>
        </w:tabs>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"_Toc8470"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lang w:val="zh-CN"/>
        </w:rPr>
        <w:t>第六篇磋商响应文件格式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bookmarkEnd w:id="0"/>
    <w:bookmarkEnd w:id="1"/>
    <w:p>
      <w:pPr>
        <w:pStyle w:val="5"/>
        <w:keepNext/>
        <w:keepLines/>
        <w:pageBreakBefore/>
        <w:numPr>
          <w:ilvl w:val="0"/>
          <w:numId w:val="10"/>
        </w:numPr>
        <w:tabs>
          <w:tab w:val="left" w:pos="1080"/>
        </w:tabs>
        <w:spacing w:beforeAutospacing="0" w:afterAutospacing="0"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r>
        <w:rPr>
          <w:rFonts w:hint="eastAsia" w:hAnsi="宋体"/>
          <w:b/>
          <w:bCs/>
          <w:color w:val="auto"/>
          <w:kern w:val="44"/>
          <w:sz w:val="28"/>
          <w:szCs w:val="28"/>
          <w:highlight w:val="none"/>
        </w:rPr>
        <w:t>磋商邀请书</w:t>
      </w:r>
    </w:p>
    <w:p>
      <w:pPr>
        <w:widowControl/>
        <w:tabs>
          <w:tab w:val="left" w:pos="-360"/>
        </w:tabs>
        <w:adjustRightInd/>
        <w:spacing w:beforeAutospacing="0" w:afterAutospacing="0" w:line="360" w:lineRule="auto"/>
        <w:ind w:right="-34" w:firstLine="420" w:firstLineChars="200"/>
        <w:jc w:val="both"/>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松山湖大学创新城--零星修缮及局部景观提升项目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TTWY-23047</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beforeAutospacing="0" w:afterAutospacing="0"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w:t>
      </w:r>
      <w:r>
        <w:rPr>
          <w:rFonts w:hint="eastAsia" w:hAnsi="宋体" w:cs="宋体"/>
          <w:color w:val="auto"/>
          <w:sz w:val="21"/>
          <w:szCs w:val="21"/>
          <w:highlight w:val="none"/>
          <w:lang w:eastAsia="zh-CN"/>
        </w:rPr>
        <w:t>零星</w:t>
      </w:r>
      <w:r>
        <w:rPr>
          <w:rFonts w:hint="eastAsia" w:hAnsi="宋体" w:cs="宋体"/>
          <w:color w:val="auto"/>
          <w:sz w:val="21"/>
          <w:szCs w:val="21"/>
          <w:highlight w:val="none"/>
          <w:lang w:val="en-US" w:eastAsia="zh-CN"/>
        </w:rPr>
        <w:t>修缮及局部景观提升项目</w:t>
      </w:r>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TTWY-23047</w:t>
      </w:r>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val="en-US" w:eastAsia="zh-CN"/>
        </w:rPr>
        <w:t>3,448,342.05</w:t>
      </w:r>
      <w:r>
        <w:rPr>
          <w:rFonts w:hint="eastAsia" w:hAnsi="宋体"/>
          <w:color w:val="auto"/>
          <w:sz w:val="21"/>
          <w:szCs w:val="21"/>
          <w:highlight w:val="none"/>
          <w:lang w:eastAsia="zh-CN"/>
        </w:rPr>
        <w:t>元</w:t>
      </w:r>
    </w:p>
    <w:p>
      <w:pPr>
        <w:widowControl/>
        <w:numPr>
          <w:ilvl w:val="0"/>
          <w:numId w:val="12"/>
        </w:numPr>
        <w:tabs>
          <w:tab w:val="left" w:pos="-360"/>
        </w:tabs>
        <w:adjustRightInd/>
        <w:spacing w:beforeAutospacing="0" w:afterAutospacing="0" w:line="360" w:lineRule="auto"/>
        <w:ind w:right="-34"/>
        <w:jc w:val="both"/>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beforeAutospacing="0" w:afterAutospacing="0"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beforeAutospacing="0" w:afterAutospacing="0" w:line="360" w:lineRule="auto"/>
        <w:ind w:right="53"/>
        <w:rPr>
          <w:rFonts w:hAnsi="宋体"/>
          <w:color w:val="auto"/>
          <w:kern w:val="2"/>
          <w:sz w:val="21"/>
          <w:szCs w:val="21"/>
          <w:highlight w:val="none"/>
        </w:rPr>
      </w:pPr>
      <w:bookmarkStart w:id="2" w:name="_Toc396137230"/>
      <w:r>
        <w:rPr>
          <w:rFonts w:hint="eastAsia" w:hAnsi="宋体"/>
          <w:color w:val="auto"/>
          <w:kern w:val="2"/>
          <w:sz w:val="21"/>
          <w:szCs w:val="21"/>
          <w:highlight w:val="none"/>
        </w:rPr>
        <w:t>供应商须为在中华人民共和国境内登记注册的具有独立承担民事责任能力的法人或其他组织</w:t>
      </w:r>
      <w:r>
        <w:rPr>
          <w:rFonts w:hint="eastAsia" w:hAnsi="宋体"/>
          <w:color w:val="auto"/>
          <w:kern w:val="2"/>
          <w:sz w:val="21"/>
          <w:szCs w:val="21"/>
          <w:highlight w:val="none"/>
          <w:lang w:eastAsia="zh-CN"/>
        </w:rPr>
        <w:t>。</w:t>
      </w:r>
    </w:p>
    <w:p>
      <w:pPr>
        <w:widowControl/>
        <w:adjustRightInd/>
        <w:spacing w:beforeAutospacing="0" w:afterAutospacing="0" w:line="360" w:lineRule="auto"/>
        <w:ind w:left="420" w:right="53"/>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r>
        <w:rPr>
          <w:rFonts w:hint="eastAsia" w:hAnsi="宋体"/>
          <w:color w:val="auto"/>
          <w:kern w:val="2"/>
          <w:sz w:val="21"/>
          <w:szCs w:val="21"/>
          <w:highlight w:val="none"/>
          <w:lang w:eastAsia="zh-CN"/>
        </w:rPr>
        <w:t>。</w:t>
      </w:r>
    </w:p>
    <w:p>
      <w:pPr>
        <w:widowControl/>
        <w:adjustRightInd/>
        <w:spacing w:beforeAutospacing="0" w:afterAutospacing="0" w:line="360" w:lineRule="auto"/>
        <w:ind w:left="420" w:right="53"/>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beforeAutospacing="0" w:afterAutospacing="0" w:line="360" w:lineRule="auto"/>
        <w:ind w:left="420" w:right="53"/>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beforeAutospacing="0" w:afterAutospacing="0" w:line="360" w:lineRule="auto"/>
        <w:ind w:left="420" w:right="53"/>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（五）供应商须具备</w:t>
      </w:r>
      <w:r>
        <w:rPr>
          <w:rFonts w:hint="eastAsia" w:hAnsi="宋体"/>
          <w:color w:val="auto"/>
          <w:kern w:val="2"/>
          <w:sz w:val="21"/>
          <w:szCs w:val="21"/>
          <w:highlight w:val="none"/>
          <w:lang w:eastAsia="zh-CN"/>
        </w:rPr>
        <w:t>市政公用工程施工总承包</w:t>
      </w:r>
      <w:r>
        <w:rPr>
          <w:rFonts w:hint="eastAsia" w:hAnsi="宋体"/>
          <w:color w:val="auto"/>
          <w:kern w:val="2"/>
          <w:sz w:val="21"/>
          <w:szCs w:val="21"/>
          <w:highlight w:val="none"/>
        </w:rPr>
        <w:t>三级或以上资质。</w:t>
      </w:r>
    </w:p>
    <w:p>
      <w:pPr>
        <w:widowControl/>
        <w:adjustRightInd/>
        <w:spacing w:beforeAutospacing="0" w:afterAutospacing="0" w:line="360" w:lineRule="auto"/>
        <w:ind w:left="420" w:right="53"/>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w:t>
      </w:r>
      <w:r>
        <w:rPr>
          <w:rFonts w:hint="eastAsia" w:hAnsi="宋体"/>
          <w:color w:val="auto"/>
          <w:kern w:val="2"/>
          <w:sz w:val="21"/>
          <w:szCs w:val="21"/>
          <w:highlight w:val="none"/>
          <w:lang w:eastAsia="zh-CN"/>
        </w:rPr>
        <w:t>磋商</w:t>
      </w:r>
      <w:r>
        <w:rPr>
          <w:rFonts w:hint="eastAsia" w:hAnsi="宋体"/>
          <w:color w:val="auto"/>
          <w:kern w:val="2"/>
          <w:sz w:val="21"/>
          <w:szCs w:val="21"/>
          <w:highlight w:val="none"/>
        </w:rPr>
        <w:t>。</w:t>
      </w:r>
    </w:p>
    <w:p>
      <w:pPr>
        <w:spacing w:beforeAutospacing="0" w:afterAutospacing="0" w:line="360" w:lineRule="auto"/>
        <w:rPr>
          <w:rFonts w:hint="eastAsia" w:hAnsi="宋体" w:eastAsia="宋体"/>
          <w:b/>
          <w:bCs/>
          <w:color w:val="auto"/>
          <w:sz w:val="21"/>
          <w:szCs w:val="21"/>
          <w:highlight w:val="none"/>
          <w:lang w:val="en-US" w:eastAsia="zh-CN"/>
        </w:rPr>
      </w:pPr>
      <w:r>
        <w:rPr>
          <w:rFonts w:hint="eastAsia" w:hAnsi="宋体"/>
          <w:b/>
          <w:bCs/>
          <w:color w:val="auto"/>
          <w:sz w:val="21"/>
          <w:szCs w:val="21"/>
          <w:highlight w:val="none"/>
        </w:rPr>
        <w:t>三、获取磋商文件：</w:t>
      </w:r>
      <w:r>
        <w:rPr>
          <w:rFonts w:hint="eastAsia" w:hAnsi="宋体"/>
          <w:b/>
          <w:bCs/>
          <w:color w:val="auto"/>
          <w:sz w:val="21"/>
          <w:szCs w:val="21"/>
          <w:highlight w:val="none"/>
          <w:lang w:val="en-US" w:eastAsia="zh-CN"/>
        </w:rPr>
        <w:t xml:space="preserve"> </w:t>
      </w:r>
    </w:p>
    <w:p>
      <w:pPr>
        <w:pStyle w:val="21"/>
        <w:spacing w:beforeAutospacing="0" w:afterAutospacing="0" w:line="360" w:lineRule="auto"/>
        <w:ind w:firstLine="420" w:firstLineChars="200"/>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lang w:eastAsia="zh-CN"/>
        </w:rPr>
        <w:t>本项目无须报名，磋商文件</w:t>
      </w:r>
      <w:r>
        <w:rPr>
          <w:rFonts w:hint="eastAsia" w:ascii="宋体" w:hAnsi="宋体" w:eastAsia="宋体" w:cs="宋体"/>
          <w:color w:val="auto"/>
          <w:kern w:val="28"/>
          <w:sz w:val="21"/>
          <w:szCs w:val="21"/>
          <w:highlight w:val="none"/>
        </w:rPr>
        <w:t>下载地址：</w:t>
      </w:r>
      <w:r>
        <w:rPr>
          <w:rFonts w:hint="eastAsia" w:ascii="宋体" w:hAnsi="宋体" w:eastAsia="宋体" w:cs="宋体"/>
          <w:color w:val="auto"/>
          <w:spacing w:val="-6"/>
          <w:kern w:val="28"/>
          <w:sz w:val="21"/>
          <w:szCs w:val="21"/>
          <w:highlight w:val="none"/>
        </w:rPr>
        <w:t>中国招标投标公共服务平台（http://www.cebpubservice.com/）</w:t>
      </w:r>
      <w:r>
        <w:rPr>
          <w:rFonts w:hint="eastAsia" w:ascii="宋体" w:hAnsi="宋体" w:eastAsia="宋体" w:cs="宋体"/>
          <w:color w:val="auto"/>
          <w:kern w:val="28"/>
          <w:sz w:val="21"/>
          <w:szCs w:val="21"/>
          <w:highlight w:val="none"/>
        </w:rPr>
        <w:t>、东莞实业投资控股集团有限公司-招标采购栏目（http://www.dgsy.com.cn/）、广东泰通伟业工程咨询有限公司官网-招标采购栏目（http://www.weiyecoltd.com/）。</w:t>
      </w:r>
    </w:p>
    <w:p>
      <w:pPr>
        <w:pStyle w:val="21"/>
        <w:spacing w:beforeAutospacing="0" w:afterAutospacing="0" w:line="360" w:lineRule="auto"/>
        <w:ind w:firstLine="420" w:firstLineChars="200"/>
        <w:rPr>
          <w:rFonts w:hint="eastAsia" w:ascii="宋体" w:hAnsi="宋体" w:eastAsia="宋体" w:cs="宋体"/>
          <w:b/>
          <w:bCs/>
          <w:color w:val="auto"/>
          <w:kern w:val="28"/>
          <w:szCs w:val="21"/>
          <w:highlight w:val="none"/>
          <w:lang w:val="zh-CN"/>
        </w:rPr>
      </w:pPr>
      <w:r>
        <w:rPr>
          <w:rFonts w:hint="eastAsia" w:ascii="宋体" w:hAnsi="宋体" w:eastAsia="宋体" w:cs="宋体"/>
          <w:color w:val="auto"/>
          <w:highlight w:val="none"/>
        </w:rPr>
        <w:t>采购结果公告</w:t>
      </w:r>
      <w:r>
        <w:rPr>
          <w:rFonts w:hint="eastAsia" w:ascii="宋体" w:hAnsi="宋体" w:eastAsia="宋体" w:cs="宋体"/>
          <w:color w:val="auto"/>
          <w:kern w:val="2"/>
          <w:szCs w:val="21"/>
          <w:highlight w:val="none"/>
        </w:rPr>
        <w:t>发布媒介：</w:t>
      </w:r>
      <w:r>
        <w:rPr>
          <w:rFonts w:hint="eastAsia" w:ascii="宋体" w:hAnsi="宋体" w:eastAsia="宋体" w:cs="宋体"/>
          <w:color w:val="auto"/>
          <w:kern w:val="2"/>
          <w:szCs w:val="21"/>
          <w:highlight w:val="none"/>
          <w:lang w:val="zh-CN"/>
        </w:rPr>
        <w:t>东莞实业投资控股集团有限公司-招标采购栏目（http://www.dgsy.com.cn/）</w:t>
      </w:r>
    </w:p>
    <w:p>
      <w:pPr>
        <w:pStyle w:val="20"/>
        <w:rPr>
          <w:rFonts w:hint="eastAsia" w:ascii="宋体" w:hAnsi="宋体" w:eastAsia="宋体" w:cs="宋体"/>
          <w:color w:val="auto"/>
          <w:highlight w:val="none"/>
          <w:lang w:val="en-US" w:eastAsia="zh-CN"/>
        </w:rPr>
      </w:pPr>
      <w:r>
        <w:rPr>
          <w:rFonts w:hint="eastAsia" w:ascii="宋体" w:hAnsi="宋体" w:eastAsia="宋体" w:cs="宋体"/>
          <w:color w:val="auto"/>
          <w:kern w:val="28"/>
          <w:sz w:val="21"/>
          <w:szCs w:val="21"/>
          <w:highlight w:val="none"/>
          <w:lang w:val="en-US" w:eastAsia="zh-CN"/>
        </w:rPr>
        <w:t xml:space="preserve">    磋商文件公告期限：自公告之日起三个工作日。</w:t>
      </w:r>
    </w:p>
    <w:p>
      <w:pPr>
        <w:pStyle w:val="29"/>
        <w:numPr>
          <w:ilvl w:val="0"/>
          <w:numId w:val="0"/>
        </w:numPr>
        <w:spacing w:beforeAutospacing="0" w:afterAutospacing="0"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（一）</w:t>
      </w:r>
      <w:r>
        <w:rPr>
          <w:rFonts w:hint="eastAsia" w:hAnsi="宋体"/>
          <w:color w:val="auto"/>
          <w:sz w:val="21"/>
          <w:szCs w:val="21"/>
          <w:highlight w:val="none"/>
        </w:rPr>
        <w:t>接收响应文件的时间：</w:t>
      </w:r>
      <w:r>
        <w:rPr>
          <w:rFonts w:hint="eastAsia" w:hAnsi="宋体"/>
          <w:color w:val="auto"/>
          <w:sz w:val="21"/>
          <w:szCs w:val="21"/>
          <w:highlight w:val="none"/>
          <w:lang w:val="en-US" w:eastAsia="zh-CN"/>
        </w:rPr>
        <w:t>2023</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10</w:t>
      </w:r>
      <w:r>
        <w:rPr>
          <w:rFonts w:hint="eastAsia" w:hAnsi="宋体"/>
          <w:color w:val="auto"/>
          <w:sz w:val="21"/>
          <w:szCs w:val="21"/>
          <w:highlight w:val="none"/>
        </w:rPr>
        <w:t>月</w:t>
      </w:r>
      <w:r>
        <w:rPr>
          <w:rFonts w:hint="eastAsia" w:hAnsi="宋体"/>
          <w:color w:val="auto"/>
          <w:sz w:val="21"/>
          <w:szCs w:val="21"/>
          <w:highlight w:val="none"/>
          <w:lang w:val="en-US" w:eastAsia="zh-CN"/>
        </w:rPr>
        <w:t>9</w:t>
      </w:r>
      <w:r>
        <w:rPr>
          <w:rFonts w:hint="eastAsia" w:hAnsi="宋体"/>
          <w:color w:val="auto"/>
          <w:sz w:val="21"/>
          <w:szCs w:val="21"/>
          <w:highlight w:val="none"/>
        </w:rPr>
        <w:t>日</w:t>
      </w:r>
      <w:r>
        <w:rPr>
          <w:rFonts w:hint="eastAsia" w:hAnsi="宋体"/>
          <w:color w:val="auto"/>
          <w:sz w:val="21"/>
          <w:szCs w:val="21"/>
          <w:highlight w:val="none"/>
          <w:lang w:val="en-US"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（二）</w:t>
      </w:r>
      <w:r>
        <w:rPr>
          <w:rFonts w:hint="eastAsia" w:hAnsi="宋体"/>
          <w:color w:val="auto"/>
          <w:sz w:val="21"/>
          <w:szCs w:val="21"/>
          <w:highlight w:val="none"/>
        </w:rPr>
        <w:t>接收响应文件截止时间及开启响应文件时间：</w:t>
      </w:r>
      <w:r>
        <w:rPr>
          <w:rFonts w:hint="eastAsia" w:hAnsi="宋体"/>
          <w:color w:val="auto"/>
          <w:sz w:val="21"/>
          <w:szCs w:val="21"/>
          <w:highlight w:val="none"/>
          <w:lang w:eastAsia="zh-CN"/>
        </w:rPr>
        <w:t>20</w:t>
      </w:r>
      <w:r>
        <w:rPr>
          <w:rFonts w:hint="eastAsia" w:hAnsi="宋体"/>
          <w:color w:val="auto"/>
          <w:sz w:val="21"/>
          <w:szCs w:val="21"/>
          <w:highlight w:val="none"/>
          <w:lang w:val="en-US" w:eastAsia="zh-CN"/>
        </w:rPr>
        <w:t>23</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10</w:t>
      </w:r>
      <w:r>
        <w:rPr>
          <w:rFonts w:hint="eastAsia" w:hAnsi="宋体"/>
          <w:color w:val="auto"/>
          <w:sz w:val="21"/>
          <w:szCs w:val="21"/>
          <w:highlight w:val="none"/>
        </w:rPr>
        <w:t>月</w:t>
      </w:r>
      <w:r>
        <w:rPr>
          <w:rFonts w:hint="eastAsia" w:hAnsi="宋体"/>
          <w:color w:val="auto"/>
          <w:sz w:val="21"/>
          <w:szCs w:val="21"/>
          <w:highlight w:val="none"/>
          <w:lang w:val="en-US" w:eastAsia="zh-CN"/>
        </w:rPr>
        <w:t>9</w:t>
      </w:r>
      <w:r>
        <w:rPr>
          <w:rFonts w:hint="eastAsia" w:hAnsi="宋体"/>
          <w:color w:val="auto"/>
          <w:sz w:val="21"/>
          <w:szCs w:val="21"/>
          <w:highlight w:val="none"/>
        </w:rPr>
        <w:t>日</w:t>
      </w:r>
      <w:r>
        <w:rPr>
          <w:rFonts w:hint="eastAsia" w:hAnsi="宋体"/>
          <w:color w:val="auto"/>
          <w:sz w:val="21"/>
          <w:szCs w:val="21"/>
          <w:highlight w:val="none"/>
          <w:lang w:val="en-US"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（三）</w:t>
      </w:r>
      <w:r>
        <w:rPr>
          <w:rFonts w:hint="eastAsia" w:hAnsi="宋体"/>
          <w:color w:val="auto"/>
          <w:sz w:val="21"/>
          <w:szCs w:val="21"/>
          <w:highlight w:val="none"/>
        </w:rPr>
        <w:t>接收响应文件地点：广东省东莞市南城街道科创路100号2栋1302室。</w:t>
      </w:r>
    </w:p>
    <w:p>
      <w:pPr>
        <w:spacing w:beforeAutospacing="0" w:afterAutospacing="0"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beforeAutospacing="0" w:afterAutospacing="0"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beforeAutospacing="0" w:afterAutospacing="0"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广东省东莞市南城街道科创路100号2栋1302室</w:t>
      </w:r>
    </w:p>
    <w:p>
      <w:pPr>
        <w:spacing w:beforeAutospacing="0" w:afterAutospacing="0"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冼</w:t>
      </w:r>
      <w:r>
        <w:rPr>
          <w:rFonts w:hint="eastAsia" w:hAnsi="宋体"/>
          <w:color w:val="auto"/>
          <w:sz w:val="21"/>
          <w:szCs w:val="21"/>
          <w:highlight w:val="none"/>
        </w:rPr>
        <w:t>小姐</w:t>
      </w:r>
    </w:p>
    <w:p>
      <w:pPr>
        <w:spacing w:beforeAutospacing="0" w:afterAutospacing="0"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w:t>
      </w:r>
      <w:r>
        <w:rPr>
          <w:rFonts w:hint="eastAsia" w:hAnsi="宋体"/>
          <w:color w:val="auto"/>
          <w:sz w:val="21"/>
          <w:szCs w:val="21"/>
          <w:highlight w:val="none"/>
        </w:rPr>
        <w:t>0769-22652033</w:t>
      </w:r>
    </w:p>
    <w:p>
      <w:pPr>
        <w:spacing w:beforeAutospacing="0" w:afterAutospacing="0"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beforeAutospacing="0" w:afterAutospacing="0"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beforeAutospacing="0" w:afterAutospacing="0"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beforeAutospacing="0" w:afterAutospacing="0"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eastAsia="zh-CN"/>
        </w:rPr>
        <w:t>谢工</w:t>
      </w:r>
    </w:p>
    <w:p>
      <w:pPr>
        <w:spacing w:beforeAutospacing="0" w:afterAutospacing="0"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beforeAutospacing="0" w:afterAutospacing="0" w:line="360" w:lineRule="auto"/>
        <w:ind w:firstLine="422" w:firstLineChars="200"/>
        <w:jc w:val="right"/>
        <w:rPr>
          <w:rFonts w:hint="eastAsia"/>
          <w:b/>
          <w:color w:val="auto"/>
          <w:sz w:val="21"/>
          <w:szCs w:val="21"/>
          <w:highlight w:val="none"/>
        </w:rPr>
      </w:pPr>
      <w:r>
        <w:rPr>
          <w:rFonts w:hint="eastAsia"/>
          <w:b/>
          <w:color w:val="auto"/>
          <w:sz w:val="21"/>
          <w:szCs w:val="21"/>
          <w:highlight w:val="none"/>
        </w:rPr>
        <w:t xml:space="preserve">                                         东莞市大学创新城建设发展有限公司</w:t>
      </w:r>
    </w:p>
    <w:p>
      <w:pPr>
        <w:spacing w:beforeAutospacing="0" w:afterAutospacing="0"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beforeAutospacing="0" w:afterAutospacing="0"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2023</w:t>
      </w:r>
      <w:r>
        <w:rPr>
          <w:rFonts w:hint="eastAsia" w:hAnsi="宋体"/>
          <w:b/>
          <w:color w:val="auto"/>
          <w:sz w:val="21"/>
          <w:szCs w:val="21"/>
          <w:highlight w:val="none"/>
        </w:rPr>
        <w:t>年</w:t>
      </w:r>
      <w:r>
        <w:rPr>
          <w:rFonts w:hint="eastAsia" w:hAnsi="宋体"/>
          <w:b/>
          <w:color w:val="auto"/>
          <w:sz w:val="21"/>
          <w:szCs w:val="21"/>
          <w:highlight w:val="none"/>
          <w:lang w:val="en-US" w:eastAsia="zh-CN"/>
        </w:rPr>
        <w:t>9</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25日</w:t>
      </w:r>
    </w:p>
    <w:bookmarkEnd w:id="2"/>
    <w:p>
      <w:pPr>
        <w:pStyle w:val="5"/>
        <w:keepNext/>
        <w:keepLines/>
        <w:pageBreakBefore/>
        <w:numPr>
          <w:ilvl w:val="0"/>
          <w:numId w:val="10"/>
        </w:numPr>
        <w:tabs>
          <w:tab w:val="left" w:pos="1080"/>
        </w:tabs>
        <w:spacing w:beforeAutospacing="0" w:afterAutospacing="0" w:line="360" w:lineRule="auto"/>
        <w:ind w:left="1262" w:hanging="1262" w:hangingChars="449"/>
        <w:jc w:val="center"/>
        <w:rPr>
          <w:rFonts w:hAnsi="宋体"/>
          <w:b/>
          <w:bCs/>
          <w:color w:val="auto"/>
          <w:kern w:val="44"/>
          <w:sz w:val="28"/>
          <w:szCs w:val="28"/>
          <w:highlight w:val="none"/>
          <w:lang w:val="zh-CN"/>
        </w:rPr>
      </w:pPr>
      <w:bookmarkStart w:id="3" w:name="_Toc16634"/>
      <w:bookmarkEnd w:id="3"/>
      <w:r>
        <w:rPr>
          <w:rFonts w:hint="eastAsia" w:hAnsi="宋体"/>
          <w:b/>
          <w:bCs/>
          <w:color w:val="auto"/>
          <w:kern w:val="44"/>
          <w:sz w:val="28"/>
          <w:szCs w:val="28"/>
          <w:highlight w:val="none"/>
          <w:lang w:val="zh-CN"/>
        </w:rPr>
        <w:t>供应商须知</w:t>
      </w:r>
    </w:p>
    <w:p>
      <w:pPr>
        <w:pStyle w:val="6"/>
        <w:adjustRightInd/>
        <w:spacing w:beforeAutospacing="0" w:afterAutospacing="0" w:line="360" w:lineRule="auto"/>
        <w:ind w:firstLine="562" w:firstLineChars="200"/>
        <w:jc w:val="center"/>
        <w:rPr>
          <w:color w:val="auto"/>
          <w:sz w:val="28"/>
          <w:szCs w:val="28"/>
          <w:highlight w:val="none"/>
        </w:rPr>
      </w:pPr>
      <w:bookmarkStart w:id="4" w:name="_Toc466786434"/>
      <w:bookmarkEnd w:id="4"/>
      <w:bookmarkStart w:id="5" w:name="_Toc507407359"/>
      <w:bookmarkEnd w:id="5"/>
      <w:bookmarkStart w:id="6" w:name="_Toc7897861"/>
      <w:bookmarkEnd w:id="6"/>
      <w:bookmarkStart w:id="7" w:name="_Toc102277756"/>
      <w:bookmarkEnd w:id="7"/>
      <w:bookmarkStart w:id="8" w:name="_Toc6968687"/>
      <w:bookmarkEnd w:id="8"/>
      <w:bookmarkStart w:id="9" w:name="_Toc12804"/>
      <w:bookmarkEnd w:id="9"/>
      <w:bookmarkStart w:id="10" w:name="_Toc6882675"/>
      <w:bookmarkEnd w:id="10"/>
      <w:r>
        <w:rPr>
          <w:rFonts w:hint="eastAsia"/>
          <w:color w:val="auto"/>
          <w:sz w:val="28"/>
          <w:szCs w:val="28"/>
          <w:highlight w:val="none"/>
        </w:rPr>
        <w:t>一、说  明</w:t>
      </w:r>
    </w:p>
    <w:p>
      <w:pPr>
        <w:pStyle w:val="7"/>
        <w:adjustRightInd/>
        <w:spacing w:beforeAutospacing="0" w:afterAutospacing="0" w:line="360" w:lineRule="auto"/>
        <w:ind w:firstLine="420" w:firstLineChars="200"/>
        <w:rPr>
          <w:rFonts w:hAnsi="宋体"/>
          <w:color w:val="auto"/>
          <w:sz w:val="21"/>
          <w:szCs w:val="21"/>
          <w:highlight w:val="none"/>
        </w:rPr>
      </w:pPr>
      <w:bookmarkStart w:id="11" w:name="_Toc24987"/>
      <w:bookmarkEnd w:id="11"/>
      <w:bookmarkStart w:id="12" w:name="_Toc3730"/>
      <w:bookmarkEnd w:id="12"/>
      <w:bookmarkStart w:id="13" w:name="_Toc475249114"/>
      <w:bookmarkEnd w:id="13"/>
      <w:bookmarkStart w:id="14" w:name="_Toc7897862"/>
      <w:bookmarkEnd w:id="14"/>
      <w:r>
        <w:rPr>
          <w:rFonts w:hint="eastAsia" w:hAnsi="宋体"/>
          <w:color w:val="auto"/>
          <w:sz w:val="21"/>
          <w:szCs w:val="21"/>
          <w:highlight w:val="none"/>
        </w:rPr>
        <w:t>1.适用范围</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7"/>
        <w:adjustRightInd/>
        <w:spacing w:beforeAutospacing="0" w:afterAutospacing="0" w:line="360" w:lineRule="auto"/>
        <w:ind w:firstLine="420" w:firstLineChars="200"/>
        <w:rPr>
          <w:rFonts w:hAnsi="宋体"/>
          <w:color w:val="auto"/>
          <w:sz w:val="21"/>
          <w:szCs w:val="21"/>
          <w:highlight w:val="none"/>
        </w:rPr>
      </w:pPr>
      <w:bookmarkStart w:id="15" w:name="_Toc475249115"/>
      <w:bookmarkEnd w:id="15"/>
      <w:bookmarkStart w:id="16" w:name="_Toc598"/>
      <w:bookmarkEnd w:id="16"/>
      <w:bookmarkStart w:id="17" w:name="_Toc9738"/>
      <w:bookmarkEnd w:id="17"/>
      <w:bookmarkStart w:id="18" w:name="_Toc7897863"/>
      <w:bookmarkEnd w:id="18"/>
      <w:r>
        <w:rPr>
          <w:rFonts w:hint="eastAsia" w:hAnsi="宋体"/>
          <w:color w:val="auto"/>
          <w:sz w:val="21"/>
          <w:szCs w:val="21"/>
          <w:highlight w:val="none"/>
        </w:rPr>
        <w:t>2.定义</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beforeAutospacing="0" w:afterAutospacing="0"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7"/>
        <w:adjustRightInd/>
        <w:spacing w:beforeAutospacing="0" w:afterAutospacing="0" w:line="360" w:lineRule="auto"/>
        <w:ind w:firstLine="420" w:firstLineChars="200"/>
        <w:rPr>
          <w:rFonts w:hAnsi="宋体"/>
          <w:color w:val="auto"/>
          <w:sz w:val="21"/>
          <w:szCs w:val="21"/>
          <w:highlight w:val="none"/>
        </w:rPr>
      </w:pPr>
      <w:bookmarkStart w:id="19" w:name="_Toc7897864"/>
      <w:bookmarkEnd w:id="19"/>
      <w:bookmarkStart w:id="20" w:name="_Toc110953831"/>
      <w:bookmarkEnd w:id="20"/>
      <w:bookmarkStart w:id="21" w:name="_Toc367"/>
      <w:bookmarkEnd w:id="21"/>
      <w:bookmarkStart w:id="22" w:name="_Toc24709"/>
      <w:bookmarkEnd w:id="22"/>
      <w:bookmarkStart w:id="23" w:name="_Toc6882676"/>
      <w:bookmarkStart w:id="24" w:name="_Toc6968688"/>
      <w:bookmarkStart w:id="25" w:name="_Toc102277757"/>
      <w:bookmarkStart w:id="26" w:name="_Toc507407360"/>
      <w:bookmarkStart w:id="27" w:name="_Toc466786435"/>
      <w:r>
        <w:rPr>
          <w:rFonts w:hint="eastAsia" w:hAnsi="宋体"/>
          <w:color w:val="auto"/>
          <w:sz w:val="21"/>
          <w:szCs w:val="21"/>
          <w:highlight w:val="none"/>
        </w:rPr>
        <w:t>3.适用法律</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7"/>
        <w:adjustRightInd/>
        <w:spacing w:beforeAutospacing="0" w:afterAutospacing="0" w:line="360" w:lineRule="auto"/>
        <w:ind w:firstLine="420" w:firstLineChars="200"/>
        <w:rPr>
          <w:rFonts w:hAnsi="宋体"/>
          <w:color w:val="auto"/>
          <w:sz w:val="21"/>
          <w:szCs w:val="21"/>
          <w:highlight w:val="none"/>
          <w:lang w:val="zh-CN"/>
        </w:rPr>
      </w:pPr>
      <w:bookmarkStart w:id="28" w:name="_Toc20707"/>
      <w:bookmarkEnd w:id="28"/>
      <w:bookmarkStart w:id="29" w:name="_Toc7897866"/>
      <w:bookmarkStart w:id="30" w:name="_Toc110953833"/>
      <w:bookmarkStart w:id="31"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p>
    <w:bookmarkEnd w:id="29"/>
    <w:bookmarkEnd w:id="30"/>
    <w:bookmarkEnd w:id="31"/>
    <w:p>
      <w:pPr>
        <w:pStyle w:val="7"/>
        <w:adjustRightInd/>
        <w:spacing w:beforeAutospacing="0" w:afterAutospacing="0" w:line="360" w:lineRule="auto"/>
        <w:ind w:firstLine="420" w:firstLineChars="200"/>
        <w:rPr>
          <w:rFonts w:hAnsi="宋体"/>
          <w:bCs/>
          <w:color w:val="auto"/>
          <w:sz w:val="21"/>
          <w:szCs w:val="21"/>
          <w:highlight w:val="none"/>
        </w:rPr>
      </w:pPr>
      <w:bookmarkStart w:id="32" w:name="_Toc10368"/>
      <w:bookmarkEnd w:id="32"/>
      <w:r>
        <w:rPr>
          <w:rFonts w:hint="eastAsia" w:hAnsi="宋体"/>
          <w:color w:val="auto"/>
          <w:sz w:val="21"/>
          <w:szCs w:val="21"/>
          <w:highlight w:val="none"/>
        </w:rPr>
        <w:t>5.禁止事项</w:t>
      </w:r>
    </w:p>
    <w:p>
      <w:pPr>
        <w:spacing w:beforeAutospacing="0" w:afterAutospacing="0" w:line="360" w:lineRule="auto"/>
        <w:ind w:firstLine="420" w:firstLineChars="200"/>
        <w:rPr>
          <w:rFonts w:hAnsi="宋体"/>
          <w:color w:val="auto"/>
          <w:sz w:val="21"/>
          <w:szCs w:val="21"/>
          <w:highlight w:val="none"/>
        </w:rPr>
      </w:pPr>
      <w:bookmarkStart w:id="33" w:name="_Toc98126218"/>
      <w:bookmarkStart w:id="34" w:name="_Toc98126293"/>
      <w:r>
        <w:rPr>
          <w:rFonts w:hint="eastAsia" w:hAnsi="宋体"/>
          <w:color w:val="auto"/>
          <w:sz w:val="21"/>
          <w:szCs w:val="21"/>
          <w:highlight w:val="none"/>
        </w:rPr>
        <w:t>5.1采购人、供应商和采购代理机构不得相互串通损害国家利益、社会公共利益和其他当事人的合法权益。</w:t>
      </w:r>
    </w:p>
    <w:bookmarkEnd w:id="33"/>
    <w:bookmarkEnd w:id="34"/>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p>
    <w:p>
      <w:pPr>
        <w:spacing w:beforeAutospacing="0" w:afterAutospacing="0" w:line="360" w:lineRule="auto"/>
        <w:ind w:firstLine="420" w:firstLineChars="200"/>
        <w:rPr>
          <w:rFonts w:hAnsi="宋体"/>
          <w:color w:val="auto"/>
          <w:sz w:val="21"/>
          <w:szCs w:val="21"/>
          <w:highlight w:val="none"/>
        </w:rPr>
      </w:pPr>
      <w:bookmarkStart w:id="35" w:name="_Toc98126219"/>
      <w:bookmarkEnd w:id="35"/>
      <w:bookmarkStart w:id="36" w:name="_Toc98126294"/>
      <w:bookmarkEnd w:id="36"/>
      <w:r>
        <w:rPr>
          <w:rFonts w:hint="eastAsia" w:hAnsi="宋体"/>
          <w:color w:val="auto"/>
          <w:sz w:val="21"/>
          <w:szCs w:val="21"/>
          <w:highlight w:val="none"/>
        </w:rPr>
        <w:t>5.3采购代理机构不得向采购人行贿或者采取其他不正当手段谋取非法利益。</w:t>
      </w:r>
    </w:p>
    <w:p>
      <w:pPr>
        <w:spacing w:beforeAutospacing="0" w:afterAutospacing="0" w:line="360" w:lineRule="auto"/>
        <w:ind w:firstLine="420" w:firstLineChars="200"/>
        <w:rPr>
          <w:rFonts w:hAnsi="宋体"/>
          <w:color w:val="auto"/>
          <w:sz w:val="21"/>
          <w:szCs w:val="21"/>
          <w:highlight w:val="none"/>
        </w:rPr>
      </w:pPr>
      <w:bookmarkStart w:id="37" w:name="_Toc98126220"/>
      <w:bookmarkEnd w:id="37"/>
      <w:bookmarkStart w:id="38" w:name="_Toc98126295"/>
      <w:bookmarkEnd w:id="38"/>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p>
    <w:p>
      <w:pPr>
        <w:pStyle w:val="7"/>
        <w:adjustRightInd/>
        <w:spacing w:beforeAutospacing="0" w:afterAutospacing="0" w:line="360" w:lineRule="auto"/>
        <w:ind w:firstLine="420" w:firstLineChars="200"/>
        <w:rPr>
          <w:rFonts w:hAnsi="宋体"/>
          <w:bCs/>
          <w:color w:val="auto"/>
          <w:sz w:val="21"/>
          <w:szCs w:val="21"/>
          <w:highlight w:val="none"/>
        </w:rPr>
      </w:pPr>
      <w:bookmarkStart w:id="39" w:name="_Toc2863"/>
      <w:bookmarkEnd w:id="39"/>
      <w:bookmarkStart w:id="40" w:name="_Toc7897867"/>
      <w:bookmarkEnd w:id="40"/>
      <w:bookmarkStart w:id="41" w:name="_Toc25870"/>
      <w:bookmarkEnd w:id="41"/>
      <w:bookmarkStart w:id="42" w:name="_Toc110953834"/>
      <w:bookmarkEnd w:id="42"/>
      <w:r>
        <w:rPr>
          <w:rFonts w:hint="eastAsia" w:hAnsi="宋体"/>
          <w:color w:val="auto"/>
          <w:sz w:val="21"/>
          <w:szCs w:val="21"/>
          <w:highlight w:val="none"/>
        </w:rPr>
        <w:t>6.保密及其它注意事项</w:t>
      </w:r>
    </w:p>
    <w:p>
      <w:pPr>
        <w:spacing w:beforeAutospacing="0" w:afterAutospacing="0" w:line="360" w:lineRule="auto"/>
        <w:ind w:firstLine="420" w:firstLineChars="200"/>
        <w:rPr>
          <w:rFonts w:hAnsi="宋体"/>
          <w:color w:val="auto"/>
          <w:sz w:val="21"/>
          <w:szCs w:val="21"/>
          <w:highlight w:val="none"/>
        </w:rPr>
      </w:pPr>
      <w:bookmarkStart w:id="43" w:name="_Toc98126222"/>
      <w:bookmarkEnd w:id="43"/>
      <w:bookmarkStart w:id="44" w:name="_Toc98126297"/>
      <w:bookmarkEnd w:id="44"/>
      <w:r>
        <w:rPr>
          <w:rFonts w:hint="eastAsia" w:hAnsi="宋体"/>
          <w:color w:val="auto"/>
          <w:sz w:val="21"/>
          <w:szCs w:val="21"/>
          <w:highlight w:val="none"/>
        </w:rPr>
        <w:t>6.1凡参与采购工作的有关人员均应自觉接受有关主管部门的监督，不得向他人透露可能影响公平竞争的有关情况。</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7"/>
        <w:adjustRightInd/>
        <w:spacing w:beforeAutospacing="0" w:afterAutospacing="0" w:line="360" w:lineRule="auto"/>
        <w:ind w:firstLine="420" w:firstLineChars="200"/>
        <w:rPr>
          <w:rFonts w:hAnsi="宋体"/>
          <w:color w:val="auto"/>
          <w:sz w:val="21"/>
          <w:szCs w:val="21"/>
          <w:highlight w:val="none"/>
        </w:rPr>
      </w:pPr>
      <w:bookmarkStart w:id="45" w:name="_Toc13371"/>
      <w:bookmarkEnd w:id="45"/>
      <w:bookmarkStart w:id="46" w:name="_Toc27298"/>
      <w:bookmarkEnd w:id="46"/>
      <w:bookmarkStart w:id="47" w:name="_Toc7897868"/>
      <w:bookmarkEnd w:id="47"/>
      <w:bookmarkStart w:id="48" w:name="_Toc497016085"/>
      <w:bookmarkEnd w:id="48"/>
      <w:r>
        <w:rPr>
          <w:rFonts w:hint="eastAsia" w:hAnsi="宋体"/>
          <w:color w:val="auto"/>
          <w:sz w:val="21"/>
          <w:szCs w:val="21"/>
          <w:highlight w:val="none"/>
        </w:rPr>
        <w:t>7.供应商诚信管理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beforeAutospacing="0" w:afterAutospacing="0" w:line="360" w:lineRule="auto"/>
        <w:rPr>
          <w:rFonts w:hAnsi="宋体"/>
          <w:color w:val="auto"/>
          <w:sz w:val="21"/>
          <w:szCs w:val="21"/>
          <w:highlight w:val="none"/>
        </w:rPr>
      </w:pPr>
    </w:p>
    <w:bookmarkEnd w:id="23"/>
    <w:bookmarkEnd w:id="24"/>
    <w:bookmarkEnd w:id="25"/>
    <w:bookmarkEnd w:id="26"/>
    <w:bookmarkEnd w:id="27"/>
    <w:p>
      <w:pPr>
        <w:pStyle w:val="6"/>
        <w:adjustRightInd/>
        <w:spacing w:beforeAutospacing="0" w:afterAutospacing="0" w:line="360" w:lineRule="auto"/>
        <w:ind w:firstLine="562" w:firstLineChars="200"/>
        <w:jc w:val="center"/>
        <w:rPr>
          <w:color w:val="auto"/>
          <w:sz w:val="28"/>
          <w:szCs w:val="28"/>
          <w:highlight w:val="none"/>
        </w:rPr>
      </w:pPr>
      <w:bookmarkStart w:id="49" w:name="_Toc23741"/>
      <w:bookmarkEnd w:id="49"/>
      <w:bookmarkStart w:id="50" w:name="_Toc7897869"/>
      <w:bookmarkEnd w:id="50"/>
      <w:r>
        <w:rPr>
          <w:rFonts w:hint="eastAsia"/>
          <w:color w:val="auto"/>
          <w:sz w:val="28"/>
          <w:szCs w:val="28"/>
          <w:highlight w:val="none"/>
        </w:rPr>
        <w:t>二、磋商文件说明</w:t>
      </w:r>
    </w:p>
    <w:p>
      <w:pPr>
        <w:pStyle w:val="7"/>
        <w:adjustRightInd/>
        <w:spacing w:beforeAutospacing="0" w:afterAutospacing="0" w:line="360" w:lineRule="auto"/>
        <w:ind w:firstLine="840" w:firstLineChars="400"/>
        <w:rPr>
          <w:rFonts w:hAnsi="宋体"/>
          <w:color w:val="auto"/>
          <w:sz w:val="21"/>
          <w:szCs w:val="21"/>
          <w:highlight w:val="none"/>
        </w:rPr>
      </w:pPr>
      <w:bookmarkStart w:id="51" w:name="_Toc110953836"/>
      <w:bookmarkEnd w:id="51"/>
      <w:bookmarkStart w:id="52" w:name="_Toc7897870"/>
      <w:bookmarkEnd w:id="52"/>
      <w:bookmarkStart w:id="53" w:name="_Toc23606"/>
      <w:bookmarkEnd w:id="53"/>
      <w:bookmarkStart w:id="54" w:name="_Toc29560"/>
      <w:bookmarkEnd w:id="54"/>
      <w:r>
        <w:rPr>
          <w:rFonts w:hint="eastAsia" w:hAnsi="宋体"/>
          <w:color w:val="auto"/>
          <w:sz w:val="21"/>
          <w:szCs w:val="21"/>
          <w:highlight w:val="none"/>
        </w:rPr>
        <w:t>8.磋商文件构成</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beforeAutospacing="0" w:afterAutospacing="0" w:line="360" w:lineRule="auto"/>
        <w:ind w:firstLine="420" w:firstLineChars="200"/>
        <w:rPr>
          <w:rFonts w:hAnsi="宋体"/>
          <w:color w:val="auto"/>
          <w:sz w:val="21"/>
          <w:szCs w:val="21"/>
          <w:highlight w:val="none"/>
        </w:rPr>
      </w:pPr>
      <w:bookmarkStart w:id="55" w:name="_Toc110953837"/>
      <w:bookmarkEnd w:id="55"/>
      <w:bookmarkStart w:id="56" w:name="_Toc19701"/>
      <w:bookmarkEnd w:id="56"/>
      <w:bookmarkStart w:id="57" w:name="_Toc16827"/>
      <w:bookmarkEnd w:id="57"/>
      <w:bookmarkStart w:id="58" w:name="_Toc7897871"/>
      <w:bookmarkEnd w:id="58"/>
      <w:r>
        <w:rPr>
          <w:rFonts w:hint="eastAsia" w:hAnsi="宋体"/>
          <w:color w:val="auto"/>
          <w:sz w:val="21"/>
          <w:szCs w:val="21"/>
          <w:highlight w:val="none"/>
        </w:rPr>
        <w:t>9.磋商文件的修改</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5"/>
        <w:ind w:firstLine="400"/>
        <w:rPr>
          <w:color w:val="auto"/>
          <w:highlight w:val="none"/>
        </w:rPr>
      </w:pPr>
    </w:p>
    <w:p>
      <w:pPr>
        <w:pStyle w:val="6"/>
        <w:adjustRightInd/>
        <w:spacing w:beforeAutospacing="0" w:afterAutospacing="0" w:line="360" w:lineRule="auto"/>
        <w:ind w:firstLine="562" w:firstLineChars="200"/>
        <w:jc w:val="center"/>
        <w:rPr>
          <w:color w:val="auto"/>
          <w:sz w:val="28"/>
          <w:szCs w:val="28"/>
          <w:highlight w:val="none"/>
        </w:rPr>
      </w:pPr>
      <w:bookmarkStart w:id="59" w:name="_Toc15398"/>
      <w:bookmarkEnd w:id="59"/>
      <w:bookmarkStart w:id="60" w:name="_Toc110953838"/>
      <w:bookmarkEnd w:id="60"/>
      <w:bookmarkStart w:id="61" w:name="_Toc7897872"/>
      <w:bookmarkEnd w:id="61"/>
      <w:r>
        <w:rPr>
          <w:rFonts w:hint="eastAsia"/>
          <w:color w:val="auto"/>
          <w:sz w:val="28"/>
          <w:szCs w:val="28"/>
          <w:highlight w:val="none"/>
        </w:rPr>
        <w:t>三、响应文件的制作</w:t>
      </w:r>
    </w:p>
    <w:p>
      <w:pPr>
        <w:pStyle w:val="7"/>
        <w:adjustRightInd/>
        <w:spacing w:beforeAutospacing="0" w:afterAutospacing="0" w:line="360" w:lineRule="auto"/>
        <w:ind w:firstLine="420" w:firstLineChars="200"/>
        <w:rPr>
          <w:rFonts w:hAnsi="宋体"/>
          <w:color w:val="auto"/>
          <w:sz w:val="21"/>
          <w:szCs w:val="21"/>
          <w:highlight w:val="none"/>
        </w:rPr>
      </w:pPr>
      <w:bookmarkStart w:id="62" w:name="_Toc15756"/>
      <w:bookmarkEnd w:id="62"/>
      <w:bookmarkStart w:id="63" w:name="_Toc23789"/>
      <w:bookmarkEnd w:id="63"/>
      <w:bookmarkStart w:id="64" w:name="_Toc110953839"/>
      <w:bookmarkEnd w:id="64"/>
      <w:bookmarkStart w:id="65" w:name="_Toc7897873"/>
      <w:bookmarkEnd w:id="65"/>
      <w:r>
        <w:rPr>
          <w:rFonts w:hint="eastAsia" w:hAnsi="宋体"/>
          <w:color w:val="auto"/>
          <w:sz w:val="21"/>
          <w:szCs w:val="21"/>
          <w:highlight w:val="none"/>
        </w:rPr>
        <w:t>10.制作要求</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7"/>
        <w:adjustRightInd/>
        <w:spacing w:beforeAutospacing="0" w:afterAutospacing="0" w:line="360" w:lineRule="auto"/>
        <w:ind w:firstLine="420" w:firstLineChars="200"/>
        <w:rPr>
          <w:rFonts w:hAnsi="宋体"/>
          <w:color w:val="auto"/>
          <w:sz w:val="21"/>
          <w:szCs w:val="21"/>
          <w:highlight w:val="none"/>
        </w:rPr>
      </w:pPr>
      <w:bookmarkStart w:id="66" w:name="_Toc18079"/>
      <w:bookmarkEnd w:id="66"/>
      <w:bookmarkStart w:id="67" w:name="_Toc7897874"/>
      <w:bookmarkEnd w:id="67"/>
      <w:bookmarkStart w:id="68" w:name="_Toc20552"/>
      <w:bookmarkEnd w:id="68"/>
      <w:bookmarkStart w:id="69" w:name="_Toc110953840"/>
      <w:bookmarkEnd w:id="69"/>
      <w:r>
        <w:rPr>
          <w:rFonts w:hint="eastAsia" w:hAnsi="宋体"/>
          <w:color w:val="auto"/>
          <w:sz w:val="21"/>
          <w:szCs w:val="21"/>
          <w:highlight w:val="none"/>
        </w:rPr>
        <w:t>11.响应文件的内容</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11.2响应（磋商）报价</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beforeAutospacing="0" w:afterAutospacing="0" w:line="360" w:lineRule="auto"/>
        <w:ind w:firstLine="422" w:firstLineChars="200"/>
        <w:rPr>
          <w:rFonts w:hint="eastAsia" w:hAnsi="宋体"/>
          <w:b/>
          <w:bCs/>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pStyle w:val="2"/>
        <w:rPr>
          <w:rFonts w:hint="eastAsia" w:hAnsi="宋体"/>
          <w:b/>
          <w:bCs/>
          <w:color w:val="auto"/>
          <w:sz w:val="21"/>
          <w:szCs w:val="21"/>
          <w:highlight w:val="none"/>
        </w:rPr>
      </w:pPr>
    </w:p>
    <w:p>
      <w:pPr>
        <w:pStyle w:val="3"/>
        <w:rPr>
          <w:highlight w:val="none"/>
        </w:rPr>
      </w:pP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beforeAutospacing="0" w:afterAutospacing="0" w:line="360" w:lineRule="auto"/>
        <w:ind w:firstLine="420" w:firstLineChars="200"/>
        <w:rPr>
          <w:rFonts w:hAnsi="宋体"/>
          <w:color w:val="auto"/>
          <w:sz w:val="21"/>
          <w:szCs w:val="21"/>
          <w:highlight w:val="none"/>
        </w:rPr>
      </w:pPr>
      <w:bookmarkStart w:id="70" w:name="_Toc7897875"/>
      <w:bookmarkEnd w:id="70"/>
      <w:bookmarkStart w:id="71" w:name="_Toc9150"/>
      <w:bookmarkEnd w:id="71"/>
      <w:bookmarkStart w:id="72" w:name="_Toc21763"/>
      <w:bookmarkEnd w:id="72"/>
      <w:bookmarkStart w:id="73" w:name="_Toc110953841"/>
      <w:bookmarkEnd w:id="73"/>
      <w:r>
        <w:rPr>
          <w:rFonts w:hint="eastAsia" w:hAnsi="宋体"/>
          <w:color w:val="auto"/>
          <w:sz w:val="21"/>
          <w:szCs w:val="21"/>
          <w:highlight w:val="none"/>
        </w:rPr>
        <w:t>12.响应文件格式</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beforeAutospacing="0" w:afterAutospacing="0" w:line="360" w:lineRule="auto"/>
        <w:ind w:firstLine="420" w:firstLineChars="200"/>
        <w:rPr>
          <w:rFonts w:hAnsi="宋体"/>
          <w:color w:val="auto"/>
          <w:sz w:val="21"/>
          <w:szCs w:val="21"/>
          <w:highlight w:val="none"/>
        </w:rPr>
      </w:pPr>
      <w:bookmarkStart w:id="74" w:name="_Toc30889"/>
      <w:bookmarkEnd w:id="74"/>
      <w:bookmarkStart w:id="75" w:name="_Toc24570"/>
      <w:bookmarkEnd w:id="75"/>
      <w:bookmarkStart w:id="76" w:name="_Toc7897876"/>
      <w:bookmarkEnd w:id="76"/>
      <w:bookmarkStart w:id="77" w:name="_Toc185150707"/>
      <w:bookmarkEnd w:id="77"/>
      <w:r>
        <w:rPr>
          <w:rFonts w:hint="eastAsia" w:hAnsi="宋体"/>
          <w:color w:val="auto"/>
          <w:sz w:val="21"/>
          <w:szCs w:val="21"/>
          <w:highlight w:val="none"/>
        </w:rPr>
        <w:t>13.磋商保证金</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松山湖大学创新城--零星修缮及局部景观提升项目</w:t>
            </w:r>
          </w:p>
        </w:tc>
        <w:tc>
          <w:tcPr>
            <w:tcW w:w="3461"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 xml:space="preserve">￥68000.00元 </w:t>
            </w:r>
          </w:p>
        </w:tc>
      </w:tr>
    </w:tbl>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13.2供应商应按要求提交磋商保证金，供应商采用银行转账</w:t>
      </w:r>
      <w:r>
        <w:rPr>
          <w:rFonts w:hint="eastAsia" w:hAnsi="宋体"/>
          <w:color w:val="auto"/>
          <w:sz w:val="21"/>
          <w:szCs w:val="21"/>
          <w:highlight w:val="none"/>
          <w:lang w:eastAsia="zh-CN"/>
        </w:rPr>
        <w:t>、电汇</w:t>
      </w:r>
      <w:r>
        <w:rPr>
          <w:rFonts w:hint="eastAsia" w:hAnsi="宋体"/>
          <w:color w:val="auto"/>
          <w:sz w:val="21"/>
          <w:szCs w:val="21"/>
          <w:highlight w:val="none"/>
        </w:rPr>
        <w:t>的形式缴交，磋商供应商与交款人名称必须一致，非磋商供应商缴纳的磋商保证金无效。</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13.3磋商保证金</w:t>
      </w:r>
      <w:r>
        <w:rPr>
          <w:rFonts w:hint="eastAsia" w:hAnsi="宋体"/>
          <w:color w:val="auto"/>
          <w:sz w:val="21"/>
          <w:szCs w:val="21"/>
          <w:highlight w:val="none"/>
          <w:lang w:eastAsia="zh-CN"/>
        </w:rPr>
        <w:t>的</w:t>
      </w:r>
      <w:r>
        <w:rPr>
          <w:rFonts w:hint="eastAsia" w:hAnsi="宋体"/>
          <w:color w:val="auto"/>
          <w:sz w:val="21"/>
          <w:szCs w:val="21"/>
          <w:highlight w:val="none"/>
        </w:rPr>
        <w:t xml:space="preserve">提交，应符合下列规定： </w:t>
      </w:r>
    </w:p>
    <w:p>
      <w:pPr>
        <w:tabs>
          <w:tab w:val="left" w:pos="567"/>
        </w:tabs>
        <w:spacing w:beforeAutospacing="0" w:afterAutospacing="0" w:line="360" w:lineRule="auto"/>
        <w:ind w:firstLine="420" w:firstLineChars="200"/>
        <w:jc w:val="both"/>
        <w:rPr>
          <w:rFonts w:hAnsi="宋体"/>
          <w:b/>
          <w:bCs/>
          <w:color w:val="auto"/>
          <w:kern w:val="2"/>
          <w:sz w:val="21"/>
          <w:szCs w:val="21"/>
          <w:highlight w:val="none"/>
          <w:lang w:val="zh-CN"/>
        </w:rPr>
      </w:pPr>
      <w:r>
        <w:rPr>
          <w:rFonts w:hint="eastAsia" w:hAnsi="宋体"/>
          <w:kern w:val="2"/>
          <w:sz w:val="21"/>
          <w:szCs w:val="21"/>
          <w:highlight w:val="none"/>
          <w:lang w:val="zh-CN"/>
        </w:rPr>
        <w:t>磋商保证金采用转帐、电汇方式提交，应符合以下要求：保证金汇入以下磋商保证金专用账户，不接收由以供应商分支机构、私人帐户和其他单位转入的保证金。磋商保证金必须在磋商响应文件递交截止前到账，磋商保证金未按规定时间到达指定账户或提交金额不足的，将被视为无效响应。且在备注或用途中注明本项目的项目编号</w:t>
      </w:r>
      <w:r>
        <w:rPr>
          <w:rFonts w:hint="eastAsia" w:hAnsi="宋体"/>
          <w:b/>
          <w:bCs/>
          <w:color w:val="auto"/>
          <w:kern w:val="2"/>
          <w:sz w:val="21"/>
          <w:szCs w:val="21"/>
          <w:highlight w:val="none"/>
          <w:lang w:val="zh-CN"/>
        </w:rPr>
        <w:t>。</w:t>
      </w:r>
    </w:p>
    <w:p>
      <w:pPr>
        <w:tabs>
          <w:tab w:val="left" w:pos="567"/>
        </w:tabs>
        <w:spacing w:beforeAutospacing="0" w:afterAutospacing="0"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beforeAutospacing="0" w:afterAutospacing="0"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beforeAutospacing="0" w:afterAutospacing="0" w:line="360" w:lineRule="auto"/>
        <w:ind w:firstLine="422" w:firstLineChars="200"/>
        <w:rPr>
          <w:rFonts w:hint="default" w:hAnsi="宋体" w:eastAsia="宋体" w:cs="宋体"/>
          <w:b/>
          <w:bCs/>
          <w:color w:val="auto"/>
          <w:kern w:val="2"/>
          <w:sz w:val="21"/>
          <w:szCs w:val="21"/>
          <w:highlight w:val="none"/>
          <w:lang w:val="en-US" w:eastAsia="zh-CN"/>
        </w:rPr>
      </w:pPr>
      <w:r>
        <w:rPr>
          <w:rFonts w:hint="eastAsia" w:hAnsi="宋体" w:cs="宋体"/>
          <w:b/>
          <w:bCs/>
          <w:color w:val="auto"/>
          <w:kern w:val="2"/>
          <w:sz w:val="21"/>
          <w:szCs w:val="21"/>
          <w:highlight w:val="none"/>
          <w:lang w:val="zh-CN"/>
        </w:rPr>
        <w:t>账  号</w:t>
      </w:r>
      <w:r>
        <w:rPr>
          <w:rFonts w:hint="eastAsia" w:hAnsi="宋体" w:cs="宋体"/>
          <w:b/>
          <w:bCs/>
          <w:i w:val="0"/>
          <w:iCs w:val="0"/>
          <w:color w:val="auto"/>
          <w:kern w:val="2"/>
          <w:sz w:val="21"/>
          <w:szCs w:val="21"/>
          <w:highlight w:val="none"/>
          <w:lang w:val="zh-CN"/>
        </w:rPr>
        <w:t>： 6232590699050063815</w:t>
      </w:r>
    </w:p>
    <w:p>
      <w:pPr>
        <w:spacing w:beforeAutospacing="0" w:afterAutospacing="0"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7"/>
        <w:adjustRightInd/>
        <w:spacing w:beforeAutospacing="0" w:afterAutospacing="0" w:line="360" w:lineRule="auto"/>
        <w:ind w:firstLine="420" w:firstLineChars="200"/>
        <w:rPr>
          <w:rFonts w:hAnsi="宋体"/>
          <w:color w:val="auto"/>
          <w:sz w:val="21"/>
          <w:szCs w:val="21"/>
          <w:highlight w:val="none"/>
        </w:rPr>
      </w:pPr>
      <w:bookmarkStart w:id="78" w:name="_Toc503758471"/>
      <w:bookmarkEnd w:id="78"/>
      <w:bookmarkStart w:id="79" w:name="_Toc480020258"/>
      <w:bookmarkEnd w:id="79"/>
      <w:bookmarkStart w:id="80" w:name="_Toc480021054"/>
      <w:bookmarkEnd w:id="80"/>
      <w:bookmarkStart w:id="81" w:name="_Toc468157537"/>
      <w:bookmarkEnd w:id="81"/>
      <w:bookmarkStart w:id="82" w:name="_Toc7897877"/>
      <w:bookmarkEnd w:id="82"/>
      <w:bookmarkStart w:id="83" w:name="_Toc480010709"/>
      <w:bookmarkEnd w:id="83"/>
      <w:bookmarkStart w:id="84" w:name="_Toc458262615"/>
      <w:bookmarkEnd w:id="84"/>
      <w:bookmarkStart w:id="85" w:name="_Toc467987824"/>
      <w:bookmarkEnd w:id="85"/>
      <w:bookmarkStart w:id="86" w:name="_Toc468606030"/>
      <w:bookmarkEnd w:id="86"/>
      <w:bookmarkStart w:id="87" w:name="_Toc479991583"/>
      <w:bookmarkEnd w:id="87"/>
      <w:bookmarkStart w:id="88" w:name="_Toc467236741"/>
      <w:bookmarkEnd w:id="88"/>
      <w:bookmarkStart w:id="89" w:name="_Toc110953842"/>
      <w:bookmarkEnd w:id="89"/>
      <w:bookmarkStart w:id="90" w:name="_Toc2525"/>
      <w:bookmarkEnd w:id="90"/>
      <w:bookmarkStart w:id="91" w:name="_Toc454701382"/>
      <w:bookmarkEnd w:id="91"/>
      <w:bookmarkStart w:id="92" w:name="_Toc480171880"/>
      <w:bookmarkEnd w:id="92"/>
      <w:bookmarkStart w:id="93" w:name="_Toc32304"/>
      <w:bookmarkEnd w:id="93"/>
      <w:r>
        <w:rPr>
          <w:rFonts w:hint="eastAsia" w:hAnsi="宋体"/>
          <w:color w:val="auto"/>
          <w:sz w:val="21"/>
          <w:szCs w:val="21"/>
          <w:highlight w:val="none"/>
        </w:rPr>
        <w:t>14.响应有效期</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5"/>
        <w:ind w:firstLine="400"/>
        <w:rPr>
          <w:color w:val="auto"/>
          <w:highlight w:val="none"/>
        </w:rPr>
      </w:pPr>
    </w:p>
    <w:p>
      <w:pPr>
        <w:pStyle w:val="6"/>
        <w:adjustRightInd/>
        <w:spacing w:beforeAutospacing="0" w:afterAutospacing="0" w:line="360" w:lineRule="auto"/>
        <w:ind w:firstLine="562" w:firstLineChars="200"/>
        <w:jc w:val="center"/>
        <w:rPr>
          <w:color w:val="auto"/>
          <w:sz w:val="28"/>
          <w:szCs w:val="28"/>
          <w:highlight w:val="none"/>
        </w:rPr>
      </w:pPr>
      <w:bookmarkStart w:id="94" w:name="_Toc110953843"/>
      <w:bookmarkEnd w:id="94"/>
      <w:bookmarkStart w:id="95" w:name="_Toc17761"/>
      <w:bookmarkEnd w:id="95"/>
      <w:bookmarkStart w:id="96" w:name="_Toc7897878"/>
      <w:bookmarkEnd w:id="96"/>
      <w:bookmarkStart w:id="97" w:name="_Toc6882679"/>
      <w:bookmarkStart w:id="98" w:name="_Toc6968691"/>
      <w:bookmarkStart w:id="99" w:name="_Toc466786438"/>
      <w:bookmarkStart w:id="100" w:name="_Toc507407363"/>
      <w:bookmarkStart w:id="101" w:name="_Toc102277760"/>
      <w:r>
        <w:rPr>
          <w:rFonts w:hint="eastAsia"/>
          <w:color w:val="auto"/>
          <w:sz w:val="28"/>
          <w:szCs w:val="28"/>
          <w:highlight w:val="none"/>
        </w:rPr>
        <w:t>四、响应文件的递交</w:t>
      </w:r>
    </w:p>
    <w:p>
      <w:pPr>
        <w:pStyle w:val="7"/>
        <w:adjustRightInd/>
        <w:spacing w:beforeAutospacing="0" w:afterAutospacing="0" w:line="360" w:lineRule="auto"/>
        <w:ind w:firstLine="420" w:firstLineChars="200"/>
        <w:rPr>
          <w:rFonts w:hAnsi="宋体"/>
          <w:color w:val="auto"/>
          <w:sz w:val="21"/>
          <w:szCs w:val="21"/>
          <w:highlight w:val="none"/>
        </w:rPr>
      </w:pPr>
      <w:bookmarkStart w:id="102" w:name="_Toc7897879"/>
      <w:bookmarkEnd w:id="102"/>
      <w:bookmarkStart w:id="103" w:name="_Toc110953844"/>
      <w:bookmarkEnd w:id="103"/>
      <w:bookmarkStart w:id="104" w:name="_Toc2684"/>
      <w:bookmarkEnd w:id="104"/>
      <w:bookmarkStart w:id="105" w:name="_Toc11500"/>
      <w:bookmarkEnd w:id="105"/>
      <w:r>
        <w:rPr>
          <w:rFonts w:hint="eastAsia" w:hAnsi="宋体"/>
          <w:color w:val="auto"/>
          <w:sz w:val="21"/>
          <w:szCs w:val="21"/>
          <w:highlight w:val="none"/>
        </w:rPr>
        <w:t>15.响应文件的密封和标记</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7"/>
        <w:adjustRightInd/>
        <w:spacing w:beforeAutospacing="0" w:afterAutospacing="0" w:line="360" w:lineRule="auto"/>
        <w:ind w:firstLine="422" w:firstLineChars="200"/>
        <w:rPr>
          <w:rFonts w:hAnsi="宋体"/>
          <w:b/>
          <w:color w:val="auto"/>
          <w:sz w:val="21"/>
          <w:szCs w:val="21"/>
          <w:highlight w:val="none"/>
        </w:rPr>
      </w:pPr>
      <w:bookmarkStart w:id="106" w:name="_Toc475249134"/>
      <w:bookmarkEnd w:id="106"/>
      <w:bookmarkStart w:id="107" w:name="_Toc12710"/>
      <w:bookmarkStart w:id="108" w:name="_Toc7897880"/>
      <w:bookmarkStart w:id="109" w:name="_Toc10017"/>
      <w:bookmarkStart w:id="110" w:name="_Toc110953845"/>
      <w:r>
        <w:rPr>
          <w:rFonts w:hint="eastAsia" w:hAnsi="宋体"/>
          <w:b/>
          <w:color w:val="auto"/>
          <w:sz w:val="21"/>
          <w:szCs w:val="21"/>
          <w:highlight w:val="none"/>
        </w:rPr>
        <w:t>17.开启响应文件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bookmarkEnd w:id="107"/>
    <w:bookmarkEnd w:id="108"/>
    <w:bookmarkEnd w:id="109"/>
    <w:bookmarkEnd w:id="110"/>
    <w:p>
      <w:pPr>
        <w:pStyle w:val="7"/>
        <w:adjustRightInd/>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16.响应文件的递交</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beforeAutospacing="0" w:afterAutospacing="0"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beforeAutospacing="0" w:afterAutospacing="0" w:line="360" w:lineRule="auto"/>
        <w:ind w:firstLine="420" w:firstLineChars="200"/>
        <w:rPr>
          <w:rFonts w:hAnsi="宋体"/>
          <w:color w:val="auto"/>
          <w:sz w:val="21"/>
          <w:szCs w:val="21"/>
          <w:highlight w:val="none"/>
        </w:rPr>
      </w:pPr>
    </w:p>
    <w:bookmarkEnd w:id="97"/>
    <w:bookmarkEnd w:id="98"/>
    <w:bookmarkEnd w:id="99"/>
    <w:bookmarkEnd w:id="100"/>
    <w:bookmarkEnd w:id="101"/>
    <w:p>
      <w:pPr>
        <w:pStyle w:val="6"/>
        <w:adjustRightInd/>
        <w:spacing w:beforeAutospacing="0" w:afterAutospacing="0" w:line="360" w:lineRule="auto"/>
        <w:ind w:firstLine="562" w:firstLineChars="200"/>
        <w:jc w:val="center"/>
        <w:rPr>
          <w:color w:val="auto"/>
          <w:sz w:val="28"/>
          <w:szCs w:val="28"/>
          <w:highlight w:val="none"/>
        </w:rPr>
      </w:pPr>
      <w:bookmarkStart w:id="111" w:name="_Toc7897881"/>
      <w:bookmarkEnd w:id="111"/>
      <w:bookmarkStart w:id="112" w:name="_Toc22874"/>
      <w:bookmarkEnd w:id="112"/>
      <w:r>
        <w:rPr>
          <w:rFonts w:hint="eastAsia"/>
          <w:color w:val="auto"/>
          <w:sz w:val="28"/>
          <w:szCs w:val="28"/>
          <w:highlight w:val="none"/>
        </w:rPr>
        <w:t>五、采购仪式和评审会议</w:t>
      </w:r>
    </w:p>
    <w:p>
      <w:pPr>
        <w:pStyle w:val="7"/>
        <w:adjustRightInd/>
        <w:spacing w:beforeAutospacing="0" w:afterAutospacing="0" w:line="360" w:lineRule="auto"/>
        <w:ind w:firstLine="422" w:firstLineChars="200"/>
        <w:rPr>
          <w:rFonts w:hAnsi="宋体"/>
          <w:b/>
          <w:color w:val="auto"/>
          <w:sz w:val="21"/>
          <w:szCs w:val="21"/>
          <w:highlight w:val="none"/>
        </w:rPr>
      </w:pPr>
      <w:bookmarkStart w:id="113" w:name="_Toc475249135"/>
      <w:bookmarkEnd w:id="113"/>
      <w:r>
        <w:rPr>
          <w:rFonts w:hint="eastAsia" w:hAnsi="宋体"/>
          <w:b/>
          <w:color w:val="auto"/>
          <w:sz w:val="21"/>
          <w:szCs w:val="21"/>
          <w:highlight w:val="none"/>
        </w:rPr>
        <w:t>18.磋商小组</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beforeAutospacing="0" w:afterAutospacing="0" w:line="360" w:lineRule="auto"/>
        <w:ind w:firstLine="422" w:firstLineChars="200"/>
        <w:rPr>
          <w:rFonts w:hAnsi="宋体"/>
          <w:b/>
          <w:color w:val="auto"/>
          <w:sz w:val="21"/>
          <w:szCs w:val="21"/>
          <w:highlight w:val="none"/>
        </w:rPr>
      </w:pPr>
      <w:bookmarkStart w:id="114" w:name="_Toc37121259"/>
      <w:bookmarkEnd w:id="114"/>
      <w:bookmarkStart w:id="115" w:name="_Toc535141844"/>
      <w:bookmarkEnd w:id="115"/>
      <w:r>
        <w:rPr>
          <w:rFonts w:hint="eastAsia" w:hAnsi="宋体"/>
          <w:b/>
          <w:color w:val="auto"/>
          <w:sz w:val="21"/>
          <w:szCs w:val="21"/>
          <w:highlight w:val="none"/>
        </w:rPr>
        <w:t>19.对响应文件的初审</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p>
      <w:pPr>
        <w:pStyle w:val="7"/>
        <w:adjustRightInd/>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5"/>
        <w:ind w:firstLine="400"/>
        <w:rPr>
          <w:color w:val="auto"/>
          <w:highlight w:val="none"/>
        </w:rPr>
      </w:pPr>
    </w:p>
    <w:p>
      <w:pPr>
        <w:pStyle w:val="6"/>
        <w:adjustRightInd/>
        <w:spacing w:beforeAutospacing="0" w:afterAutospacing="0" w:line="360" w:lineRule="auto"/>
        <w:ind w:firstLine="562" w:firstLineChars="200"/>
        <w:jc w:val="center"/>
        <w:rPr>
          <w:color w:val="auto"/>
          <w:sz w:val="28"/>
          <w:szCs w:val="28"/>
          <w:highlight w:val="none"/>
        </w:rPr>
      </w:pPr>
      <w:bookmarkStart w:id="116" w:name="_Toc18625"/>
      <w:bookmarkEnd w:id="116"/>
      <w:bookmarkStart w:id="117" w:name="_Toc7897882"/>
      <w:bookmarkEnd w:id="117"/>
      <w:r>
        <w:rPr>
          <w:rFonts w:hint="eastAsia"/>
          <w:color w:val="auto"/>
          <w:sz w:val="28"/>
          <w:szCs w:val="28"/>
          <w:highlight w:val="none"/>
        </w:rPr>
        <w:t>六、确定成交供应商</w:t>
      </w:r>
    </w:p>
    <w:p>
      <w:pPr>
        <w:pStyle w:val="7"/>
        <w:adjustRightInd/>
        <w:spacing w:beforeAutospacing="0" w:afterAutospacing="0"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beforeAutospacing="0" w:afterAutospacing="0" w:line="360" w:lineRule="auto"/>
        <w:ind w:firstLine="422"/>
        <w:rPr>
          <w:b/>
          <w:color w:val="auto"/>
          <w:sz w:val="21"/>
          <w:szCs w:val="21"/>
          <w:highlight w:val="none"/>
        </w:rPr>
      </w:pPr>
      <w:r>
        <w:rPr>
          <w:rFonts w:hint="eastAsia"/>
          <w:b/>
          <w:color w:val="auto"/>
          <w:sz w:val="21"/>
          <w:szCs w:val="21"/>
          <w:highlight w:val="none"/>
        </w:rPr>
        <w:t>25.资格后审</w:t>
      </w:r>
    </w:p>
    <w:p>
      <w:pPr>
        <w:spacing w:beforeAutospacing="0" w:afterAutospacing="0"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beforeAutospacing="0" w:afterAutospacing="0"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beforeAutospacing="0" w:afterAutospacing="0"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beforeAutospacing="0" w:afterAutospacing="0"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beforeAutospacing="0" w:afterAutospacing="0"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7"/>
        <w:adjustRightInd/>
        <w:spacing w:beforeAutospacing="0" w:afterAutospacing="0" w:line="360" w:lineRule="auto"/>
        <w:ind w:firstLine="422" w:firstLineChars="200"/>
        <w:rPr>
          <w:rFonts w:hAnsi="宋体"/>
          <w:b/>
          <w:color w:val="auto"/>
          <w:sz w:val="21"/>
          <w:szCs w:val="21"/>
          <w:highlight w:val="none"/>
        </w:rPr>
      </w:pPr>
      <w:bookmarkStart w:id="118" w:name="_Toc475249142"/>
      <w:bookmarkEnd w:id="118"/>
      <w:r>
        <w:rPr>
          <w:rFonts w:hint="eastAsia" w:hAnsi="宋体"/>
          <w:b/>
          <w:color w:val="auto"/>
          <w:sz w:val="21"/>
          <w:szCs w:val="21"/>
          <w:highlight w:val="none"/>
        </w:rPr>
        <w:t>26.成交通知</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15"/>
        <w:ind w:firstLine="400"/>
        <w:rPr>
          <w:color w:val="auto"/>
          <w:highlight w:val="none"/>
        </w:rPr>
      </w:pPr>
    </w:p>
    <w:p>
      <w:pPr>
        <w:pStyle w:val="6"/>
        <w:adjustRightInd/>
        <w:spacing w:beforeAutospacing="0" w:afterAutospacing="0" w:line="360" w:lineRule="auto"/>
        <w:ind w:firstLine="562" w:firstLineChars="200"/>
        <w:jc w:val="center"/>
        <w:rPr>
          <w:color w:val="auto"/>
          <w:sz w:val="28"/>
          <w:szCs w:val="28"/>
          <w:highlight w:val="none"/>
        </w:rPr>
      </w:pPr>
      <w:bookmarkStart w:id="119" w:name="_Toc28276"/>
      <w:bookmarkEnd w:id="119"/>
      <w:bookmarkStart w:id="120" w:name="_Toc7897883"/>
      <w:bookmarkEnd w:id="120"/>
      <w:bookmarkStart w:id="121" w:name="_Toc37756778"/>
      <w:bookmarkEnd w:id="121"/>
      <w:bookmarkStart w:id="122" w:name="_Toc110953852"/>
      <w:bookmarkEnd w:id="122"/>
      <w:r>
        <w:rPr>
          <w:rFonts w:hint="eastAsia"/>
          <w:color w:val="auto"/>
          <w:sz w:val="28"/>
          <w:szCs w:val="28"/>
          <w:highlight w:val="none"/>
        </w:rPr>
        <w:t>七、签订采购合同</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beforeAutospacing="0" w:afterAutospacing="0"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beforeAutospacing="0" w:afterAutospacing="0"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beforeAutospacing="0" w:afterAutospacing="0"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beforeAutospacing="0" w:afterAutospacing="0"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beforeAutospacing="0" w:afterAutospacing="0"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beforeAutospacing="0" w:afterAutospacing="0"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p>
      <w:pPr>
        <w:pStyle w:val="6"/>
        <w:adjustRightInd/>
        <w:spacing w:beforeAutospacing="0" w:afterAutospacing="0" w:line="360" w:lineRule="auto"/>
        <w:ind w:firstLine="562" w:firstLineChars="200"/>
        <w:jc w:val="center"/>
        <w:rPr>
          <w:color w:val="auto"/>
          <w:sz w:val="21"/>
          <w:szCs w:val="21"/>
          <w:highlight w:val="none"/>
        </w:rPr>
      </w:pPr>
      <w:bookmarkStart w:id="123" w:name="_Toc7897884"/>
      <w:bookmarkEnd w:id="123"/>
      <w:bookmarkStart w:id="124" w:name="_Toc8766"/>
      <w:bookmarkEnd w:id="124"/>
      <w:bookmarkStart w:id="125" w:name="_Toc3498"/>
      <w:bookmarkStart w:id="126" w:name="_Toc396137239"/>
      <w:bookmarkStart w:id="127" w:name="_Toc5141"/>
      <w:bookmarkStart w:id="128" w:name="_Toc22751"/>
      <w:bookmarkStart w:id="129" w:name="_Toc396137240"/>
      <w:r>
        <w:rPr>
          <w:rFonts w:hint="eastAsia"/>
          <w:color w:val="auto"/>
          <w:sz w:val="28"/>
          <w:szCs w:val="28"/>
          <w:highlight w:val="none"/>
        </w:rPr>
        <w:t>八、成交服务费</w:t>
      </w:r>
    </w:p>
    <w:p>
      <w:pPr>
        <w:spacing w:beforeAutospacing="0" w:afterAutospacing="0"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beforeAutospacing="0" w:afterAutospacing="0"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beforeAutospacing="0" w:afterAutospacing="0"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beforeAutospacing="0" w:afterAutospacing="0"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beforeAutospacing="0" w:afterAutospacing="0"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beforeAutospacing="0" w:afterAutospacing="0"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15"/>
        <w:ind w:firstLine="400"/>
        <w:rPr>
          <w:color w:val="auto"/>
          <w:highlight w:val="none"/>
        </w:rPr>
      </w:pPr>
    </w:p>
    <w:bookmarkEnd w:id="125"/>
    <w:bookmarkEnd w:id="126"/>
    <w:bookmarkEnd w:id="127"/>
    <w:p>
      <w:pPr>
        <w:pStyle w:val="6"/>
        <w:adjustRightInd/>
        <w:spacing w:beforeAutospacing="0" w:afterAutospacing="0"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beforeAutospacing="0" w:afterAutospacing="0"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beforeAutospacing="0" w:afterAutospacing="0"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beforeAutospacing="0" w:afterAutospacing="0"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beforeAutospacing="0" w:afterAutospacing="0"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beforeAutospacing="0" w:afterAutospacing="0"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beforeAutospacing="0" w:afterAutospacing="0"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w:t>
      </w:r>
      <w:r>
        <w:rPr>
          <w:rFonts w:hint="eastAsia" w:hAnsi="宋体"/>
          <w:color w:val="auto"/>
          <w:sz w:val="21"/>
          <w:szCs w:val="21"/>
          <w:highlight w:val="none"/>
          <w:lang w:eastAsia="zh-CN"/>
        </w:rPr>
        <w:t>冼</w:t>
      </w:r>
      <w:r>
        <w:rPr>
          <w:rFonts w:hint="eastAsia" w:hAnsi="宋体"/>
          <w:color w:val="auto"/>
          <w:sz w:val="21"/>
          <w:szCs w:val="21"/>
          <w:highlight w:val="none"/>
        </w:rPr>
        <w:t>小姐/0769-22652033；联系地址：广东省东莞市南城街道科创路100号2栋1302室。</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beforeAutospacing="0" w:afterAutospacing="0" w:line="360" w:lineRule="auto"/>
        <w:ind w:firstLine="420" w:firstLineChars="200"/>
        <w:rPr>
          <w:bCs/>
          <w:color w:val="auto"/>
          <w:sz w:val="21"/>
          <w:szCs w:val="21"/>
          <w:highlight w:val="none"/>
        </w:rPr>
      </w:pPr>
      <w:bookmarkStart w:id="130" w:name="_Toc29421"/>
      <w:bookmarkEnd w:id="130"/>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p>
    <w:bookmarkEnd w:id="128"/>
    <w:bookmarkEnd w:id="129"/>
    <w:p>
      <w:pPr>
        <w:pStyle w:val="5"/>
        <w:keepNext/>
        <w:keepLines/>
        <w:pageBreakBefore/>
        <w:numPr>
          <w:ilvl w:val="0"/>
          <w:numId w:val="10"/>
        </w:numPr>
        <w:tabs>
          <w:tab w:val="left" w:pos="1080"/>
        </w:tabs>
        <w:spacing w:beforeAutospacing="0" w:afterAutospacing="0"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p>
    <w:p>
      <w:pPr>
        <w:pStyle w:val="5"/>
        <w:spacing w:beforeAutospacing="0" w:afterAutospacing="0" w:line="360" w:lineRule="auto"/>
        <w:jc w:val="center"/>
        <w:rPr>
          <w:b/>
          <w:bCs/>
          <w:color w:val="auto"/>
          <w:sz w:val="28"/>
          <w:szCs w:val="28"/>
          <w:highlight w:val="none"/>
        </w:rPr>
      </w:pPr>
      <w:bookmarkStart w:id="131" w:name="_Toc32290"/>
      <w:bookmarkEnd w:id="131"/>
      <w:bookmarkStart w:id="132" w:name="_Toc13957"/>
      <w:r>
        <w:rPr>
          <w:rFonts w:hint="eastAsia"/>
          <w:b/>
          <w:bCs/>
          <w:color w:val="auto"/>
          <w:sz w:val="28"/>
          <w:szCs w:val="28"/>
          <w:highlight w:val="none"/>
        </w:rPr>
        <w:t>第一部分 商务需求书</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beforeAutospacing="0" w:afterAutospacing="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施工场地达到入场条件，以采购人开工令为准确定开始施工日期。工期为</w:t>
            </w:r>
            <w:r>
              <w:rPr>
                <w:rFonts w:hint="eastAsia" w:ascii="宋体" w:hAnsi="宋体" w:cs="宋体"/>
                <w:color w:val="auto"/>
                <w:sz w:val="21"/>
                <w:szCs w:val="21"/>
                <w:highlight w:val="none"/>
                <w:lang w:val="en-US" w:eastAsia="zh-CN"/>
              </w:rPr>
              <w:t>270</w:t>
            </w:r>
            <w:r>
              <w:rPr>
                <w:rFonts w:hint="eastAsia" w:ascii="宋体" w:hAnsi="宋体" w:eastAsia="宋体" w:cs="宋体"/>
                <w:color w:val="auto"/>
                <w:sz w:val="21"/>
                <w:szCs w:val="21"/>
                <w:highlight w:val="none"/>
              </w:rPr>
              <w:t>天（日历日）。</w:t>
            </w:r>
          </w:p>
          <w:p>
            <w:pPr>
              <w:pStyle w:val="144"/>
              <w:spacing w:beforeAutospacing="0" w:afterAutospacing="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原因导致的工期延误，只允许工期顺延，不存在因工期延误向采购人提出其他索赔。</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beforeAutospacing="0" w:afterAutospacing="0"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noWrap w:val="0"/>
            <w:vAlign w:val="center"/>
          </w:tcPr>
          <w:p>
            <w:pPr>
              <w:autoSpaceDE/>
              <w:autoSpaceDN/>
              <w:adjustRightInd/>
              <w:spacing w:beforeAutospacing="0" w:afterAutospacing="0" w:line="360" w:lineRule="auto"/>
              <w:ind w:firstLine="420" w:firstLineChars="200"/>
              <w:jc w:val="both"/>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应当对充分了解工程施工现场和周围环境，以获得由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自己负责的有关编制</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文件和签署合同的所有信息，一旦</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这种考察即被认为其结果已在</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文件中的充分反映；若因本项目实施中可能出现其它未知因素和</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无法体现的内容而产生费用，该费用由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承担。</w:t>
            </w:r>
          </w:p>
          <w:p>
            <w:pPr>
              <w:autoSpaceDE/>
              <w:autoSpaceDN/>
              <w:adjustRightInd/>
              <w:spacing w:beforeAutospacing="0" w:afterAutospacing="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w:t>
            </w:r>
            <w:r>
              <w:rPr>
                <w:rFonts w:hint="eastAsia" w:hAnsi="宋体" w:cs="宋体"/>
                <w:b w:val="0"/>
                <w:bCs w:val="0"/>
                <w:color w:val="auto"/>
                <w:sz w:val="21"/>
                <w:szCs w:val="21"/>
                <w:highlight w:val="none"/>
                <w:lang w:val="en-US" w:eastAsia="zh-CN"/>
              </w:rPr>
              <w:t>第一部分零星修缮及第二部分环境提升</w:t>
            </w:r>
            <w:r>
              <w:rPr>
                <w:rFonts w:hint="eastAsia" w:ascii="宋体" w:hAnsi="宋体" w:eastAsia="宋体" w:cs="宋体"/>
                <w:b w:val="0"/>
                <w:bCs w:val="0"/>
                <w:color w:val="auto"/>
                <w:sz w:val="21"/>
                <w:szCs w:val="21"/>
                <w:highlight w:val="none"/>
                <w:lang w:eastAsia="zh-CN"/>
              </w:rPr>
              <w:t>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w:t>
            </w:r>
            <w:r>
              <w:rPr>
                <w:rFonts w:hint="eastAsia" w:hAnsi="宋体" w:cs="宋体"/>
                <w:b w:val="0"/>
                <w:bCs w:val="0"/>
                <w:color w:val="auto"/>
                <w:sz w:val="21"/>
                <w:szCs w:val="21"/>
                <w:highlight w:val="none"/>
                <w:lang w:eastAsia="zh-CN"/>
              </w:rPr>
              <w:t>照</w:t>
            </w:r>
            <w:r>
              <w:rPr>
                <w:rFonts w:hint="eastAsia" w:ascii="宋体" w:hAnsi="宋体" w:eastAsia="宋体" w:cs="宋体"/>
                <w:b w:val="0"/>
                <w:bCs w:val="0"/>
                <w:color w:val="auto"/>
                <w:sz w:val="21"/>
                <w:szCs w:val="21"/>
                <w:highlight w:val="none"/>
              </w:rPr>
              <w:t>采购人提供的</w:t>
            </w:r>
            <w:r>
              <w:rPr>
                <w:rFonts w:hint="eastAsia" w:hAnsi="宋体" w:cs="宋体"/>
                <w:b w:val="0"/>
                <w:bCs w:val="0"/>
                <w:color w:val="auto"/>
                <w:sz w:val="21"/>
                <w:szCs w:val="21"/>
                <w:highlight w:val="none"/>
                <w:lang w:eastAsia="zh-CN"/>
              </w:rPr>
              <w:t>施工</w:t>
            </w:r>
            <w:r>
              <w:rPr>
                <w:rFonts w:hint="eastAsia" w:hAnsi="宋体" w:cs="宋体"/>
                <w:b w:val="0"/>
                <w:bCs w:val="0"/>
                <w:color w:val="auto"/>
                <w:sz w:val="21"/>
                <w:szCs w:val="21"/>
                <w:highlight w:val="none"/>
                <w:lang w:val="en-US" w:eastAsia="zh-CN"/>
              </w:rPr>
              <w:t>方案、图纸</w:t>
            </w:r>
            <w:r>
              <w:rPr>
                <w:rFonts w:hint="eastAsia" w:ascii="宋体" w:hAnsi="宋体" w:eastAsia="宋体" w:cs="宋体"/>
                <w:b w:val="0"/>
                <w:bCs w:val="0"/>
                <w:color w:val="auto"/>
                <w:sz w:val="21"/>
                <w:szCs w:val="21"/>
                <w:highlight w:val="none"/>
              </w:rPr>
              <w:t>进行报价</w:t>
            </w:r>
            <w:r>
              <w:rPr>
                <w:rFonts w:hint="eastAsia" w:hAnsi="宋体" w:cs="宋体"/>
                <w:b w:val="0"/>
                <w:bCs w:val="0"/>
                <w:color w:val="auto"/>
                <w:sz w:val="21"/>
                <w:szCs w:val="21"/>
                <w:highlight w:val="none"/>
                <w:lang w:eastAsia="zh-CN"/>
              </w:rPr>
              <w:t>，工程量清单及其量项仅作为参考</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第三部分暂列金额按采购人预算金额填报，用于合同执行中</w:t>
            </w:r>
            <w:r>
              <w:rPr>
                <w:rFonts w:hint="eastAsia" w:ascii="宋体" w:hAnsi="宋体" w:eastAsia="宋体" w:cs="宋体"/>
                <w:i w:val="0"/>
                <w:iCs w:val="0"/>
                <w:caps w:val="0"/>
                <w:color w:val="auto"/>
                <w:spacing w:val="0"/>
                <w:sz w:val="21"/>
                <w:szCs w:val="21"/>
                <w:highlight w:val="none"/>
                <w:shd w:val="clear" w:fill="auto"/>
              </w:rPr>
              <w:t>可能发生</w:t>
            </w:r>
            <w:r>
              <w:rPr>
                <w:rFonts w:hint="eastAsia" w:ascii="宋体" w:hAnsi="宋体" w:eastAsia="宋体" w:cs="宋体"/>
                <w:i w:val="0"/>
                <w:iCs w:val="0"/>
                <w:caps w:val="0"/>
                <w:color w:val="auto"/>
                <w:spacing w:val="0"/>
                <w:sz w:val="21"/>
                <w:szCs w:val="21"/>
                <w:highlight w:val="none"/>
                <w:shd w:val="clear" w:fill="auto"/>
                <w:lang w:val="en-US" w:eastAsia="zh-CN"/>
              </w:rPr>
              <w:t>的</w:t>
            </w:r>
            <w:r>
              <w:rPr>
                <w:rFonts w:hint="eastAsia" w:ascii="宋体" w:hAnsi="宋体" w:eastAsia="宋体" w:cs="宋体"/>
                <w:i w:val="0"/>
                <w:iCs w:val="0"/>
                <w:caps w:val="0"/>
                <w:color w:val="auto"/>
                <w:spacing w:val="0"/>
                <w:sz w:val="21"/>
                <w:szCs w:val="21"/>
                <w:highlight w:val="none"/>
                <w:shd w:val="clear" w:fill="auto"/>
              </w:rPr>
              <w:t>工程变更</w:t>
            </w:r>
            <w:r>
              <w:rPr>
                <w:rFonts w:hint="eastAsia" w:ascii="宋体" w:hAnsi="宋体" w:eastAsia="宋体" w:cs="宋体"/>
                <w:i w:val="0"/>
                <w:iCs w:val="0"/>
                <w:caps w:val="0"/>
                <w:color w:val="auto"/>
                <w:spacing w:val="0"/>
                <w:sz w:val="21"/>
                <w:szCs w:val="21"/>
                <w:highlight w:val="none"/>
                <w:shd w:val="clear" w:fill="auto"/>
                <w:lang w:eastAsia="zh-CN"/>
              </w:rPr>
              <w:t>、</w:t>
            </w:r>
            <w:r>
              <w:rPr>
                <w:rFonts w:hint="eastAsia" w:ascii="宋体" w:hAnsi="宋体" w:eastAsia="宋体" w:cs="宋体"/>
                <w:i w:val="0"/>
                <w:iCs w:val="0"/>
                <w:caps w:val="0"/>
                <w:color w:val="auto"/>
                <w:spacing w:val="0"/>
                <w:sz w:val="21"/>
                <w:szCs w:val="21"/>
                <w:highlight w:val="none"/>
                <w:shd w:val="clear" w:fill="auto"/>
                <w:lang w:val="en-US" w:eastAsia="zh-CN"/>
              </w:rPr>
              <w:t>签证及其他不可预见项目，</w:t>
            </w:r>
            <w:r>
              <w:rPr>
                <w:rFonts w:hint="eastAsia" w:hAnsi="宋体" w:cs="宋体"/>
                <w:b w:val="0"/>
                <w:bCs w:val="0"/>
                <w:color w:val="auto"/>
                <w:sz w:val="21"/>
                <w:szCs w:val="21"/>
                <w:highlight w:val="none"/>
                <w:lang w:val="en-US" w:eastAsia="zh-CN"/>
              </w:rPr>
              <w:t>按实结算。</w:t>
            </w:r>
          </w:p>
          <w:p>
            <w:pPr>
              <w:autoSpaceDE/>
              <w:autoSpaceDN/>
              <w:adjustRightInd/>
              <w:spacing w:beforeAutospacing="0" w:afterAutospacing="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总价是指</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highlight w:val="none"/>
                <w:lang w:eastAsia="zh-CN"/>
              </w:rPr>
              <w:t>除</w:t>
            </w:r>
            <w:r>
              <w:rPr>
                <w:rFonts w:hint="eastAsia" w:ascii="宋体" w:hAnsi="宋体" w:eastAsia="宋体" w:cs="宋体"/>
                <w:b w:val="0"/>
                <w:bCs w:val="0"/>
                <w:color w:val="auto"/>
                <w:sz w:val="21"/>
                <w:szCs w:val="21"/>
                <w:highlight w:val="none"/>
              </w:rPr>
              <w:t>施工过程中发生设计变更</w:t>
            </w:r>
            <w:r>
              <w:rPr>
                <w:rFonts w:hint="eastAsia" w:ascii="宋体" w:hAnsi="宋体" w:eastAsia="宋体" w:cs="宋体"/>
                <w:b w:val="0"/>
                <w:bCs w:val="0"/>
                <w:color w:val="auto"/>
                <w:sz w:val="21"/>
                <w:szCs w:val="21"/>
                <w:highlight w:val="none"/>
                <w:lang w:eastAsia="zh-CN"/>
              </w:rPr>
              <w:t>及现场签证外</w:t>
            </w:r>
            <w:r>
              <w:rPr>
                <w:rFonts w:hint="eastAsia" w:ascii="宋体" w:hAnsi="宋体" w:eastAsia="宋体" w:cs="宋体"/>
                <w:b w:val="0"/>
                <w:bCs w:val="0"/>
                <w:color w:val="auto"/>
                <w:sz w:val="21"/>
                <w:szCs w:val="21"/>
                <w:highlight w:val="none"/>
              </w:rPr>
              <w:t>，合同总价在</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及施工合同约定的风险范围之内(的图纸、</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以及技术资料的固定)不可调整。</w:t>
            </w:r>
          </w:p>
          <w:p>
            <w:pPr>
              <w:spacing w:beforeAutospacing="0" w:afterAutospacing="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应结合建筑市场、自身施工能力、经营状况，充分考虑市场竞争和施工过程中承担风险的能力等。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必须提供增值税专用发票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税率9%）</w:t>
            </w:r>
            <w:r>
              <w:rPr>
                <w:rFonts w:hint="eastAsia" w:ascii="宋体" w:hAnsi="宋体" w:eastAsia="宋体" w:cs="宋体"/>
                <w:color w:val="auto"/>
                <w:sz w:val="21"/>
                <w:szCs w:val="21"/>
                <w:highlight w:val="none"/>
              </w:rPr>
              <w:t>。若有税率调整，按最新政策税率执行，结算时按不含税价*新税率调整。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beforeAutospacing="0" w:afterAutospacing="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beforeAutospacing="0" w:afterAutospacing="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beforeAutospacing="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beforeAutospacing="0" w:afterAutospacing="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beforeAutospacing="0" w:afterAutospacing="0"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beforeAutospacing="0" w:afterAutospacing="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详见技术需求书。</w:t>
            </w:r>
          </w:p>
        </w:tc>
      </w:tr>
    </w:tbl>
    <w:p>
      <w:pPr>
        <w:pStyle w:val="15"/>
        <w:rPr>
          <w:rFonts w:hint="eastAsia"/>
          <w:color w:val="auto"/>
          <w:highlight w:val="none"/>
        </w:rPr>
      </w:pPr>
    </w:p>
    <w:p>
      <w:pPr>
        <w:pStyle w:val="5"/>
        <w:jc w:val="center"/>
        <w:rPr>
          <w:rFonts w:hint="eastAsia"/>
          <w:b/>
          <w:color w:val="auto"/>
          <w:sz w:val="28"/>
          <w:szCs w:val="28"/>
          <w:highlight w:val="none"/>
        </w:rPr>
      </w:pPr>
      <w:bookmarkStart w:id="133" w:name="_Toc25267"/>
      <w:bookmarkEnd w:id="133"/>
      <w:r>
        <w:rPr>
          <w:rFonts w:hint="eastAsia"/>
          <w:b/>
          <w:color w:val="auto"/>
          <w:sz w:val="28"/>
          <w:szCs w:val="28"/>
          <w:highlight w:val="none"/>
        </w:rPr>
        <w:t>第二部分 技术需求书</w:t>
      </w:r>
    </w:p>
    <w:p>
      <w:pPr>
        <w:pStyle w:val="6"/>
        <w:keepNext w:val="0"/>
        <w:keepLines w:val="0"/>
        <w:pageBreakBefore w:val="0"/>
        <w:widowControl w:val="0"/>
        <w:kinsoku/>
        <w:wordWrap/>
        <w:overflowPunct/>
        <w:topLinePunct w:val="0"/>
        <w:bidi w:val="0"/>
        <w:snapToGrid/>
        <w:spacing w:beforeAutospacing="0" w:afterAutospacing="0" w:line="360" w:lineRule="auto"/>
        <w:rPr>
          <w:rFonts w:hint="eastAsia" w:eastAsia="宋体"/>
          <w:color w:val="auto"/>
          <w:highlight w:val="none"/>
          <w:lang w:eastAsia="zh-CN"/>
        </w:rPr>
      </w:pPr>
      <w:bookmarkStart w:id="134" w:name="_Toc30247"/>
      <w:bookmarkEnd w:id="134"/>
      <w:r>
        <w:rPr>
          <w:rFonts w:hint="eastAsia"/>
          <w:color w:val="auto"/>
          <w:highlight w:val="none"/>
        </w:rPr>
        <w:t>一、项目</w:t>
      </w:r>
      <w:r>
        <w:rPr>
          <w:rFonts w:hint="eastAsia"/>
          <w:color w:val="auto"/>
          <w:highlight w:val="none"/>
          <w:lang w:eastAsia="zh-CN"/>
        </w:rPr>
        <w:t>概况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olor w:val="auto"/>
          <w:sz w:val="21"/>
          <w:szCs w:val="21"/>
          <w:highlight w:val="none"/>
          <w:lang w:eastAsia="zh-CN"/>
        </w:rPr>
        <w:t>松山湖大学创新城--零星修缮及局部景观提升项目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2、建设地点：东莞市松山湖</w:t>
      </w:r>
      <w:r>
        <w:rPr>
          <w:rFonts w:hint="eastAsia" w:hAnsi="宋体" w:cs="宋体"/>
          <w:color w:val="auto"/>
          <w:sz w:val="21"/>
          <w:szCs w:val="21"/>
          <w:highlight w:val="none"/>
          <w:lang w:val="en-US" w:eastAsia="zh-CN"/>
        </w:rPr>
        <w:t>国际创新创业社区</w:t>
      </w:r>
    </w:p>
    <w:p>
      <w:pPr>
        <w:pStyle w:val="6"/>
        <w:keepNext w:val="0"/>
        <w:keepLines w:val="0"/>
        <w:pageBreakBefore w:val="0"/>
        <w:widowControl w:val="0"/>
        <w:kinsoku/>
        <w:wordWrap/>
        <w:overflowPunct/>
        <w:topLinePunct w:val="0"/>
        <w:bidi w:val="0"/>
        <w:snapToGrid/>
        <w:spacing w:beforeAutospacing="0" w:afterAutospacing="0" w:line="360" w:lineRule="auto"/>
        <w:rPr>
          <w:rFonts w:hint="eastAsia"/>
          <w:color w:val="auto"/>
          <w:highlight w:val="none"/>
        </w:rPr>
      </w:pPr>
      <w:r>
        <w:rPr>
          <w:rFonts w:hint="eastAsia"/>
          <w:color w:val="auto"/>
          <w:highlight w:val="none"/>
          <w:lang w:eastAsia="zh-CN"/>
        </w:rPr>
        <w:t>二</w:t>
      </w:r>
      <w:r>
        <w:rPr>
          <w:rFonts w:hint="eastAsia"/>
          <w:color w:val="auto"/>
          <w:highlight w:val="none"/>
        </w:rPr>
        <w:t>、</w:t>
      </w:r>
      <w:r>
        <w:rPr>
          <w:rFonts w:hint="eastAsia"/>
          <w:color w:val="auto"/>
          <w:highlight w:val="none"/>
          <w:lang w:eastAsia="zh-CN"/>
        </w:rPr>
        <w:t>采购</w:t>
      </w:r>
      <w:r>
        <w:rPr>
          <w:rFonts w:hint="eastAsia"/>
          <w:color w:val="auto"/>
          <w:highlight w:val="none"/>
        </w:rPr>
        <w:t>范围：</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包括担不限于：AB塔设备间地面改造、AB塔裙楼过道及卫生间增加风机盘管、H1栋首层修缮、H1更换玻璃雨棚、展示中心贴膜及其他附属工程、外阳台天花改造、湖区驳岸景观提升、环湖跑道改造、H区篮球场改造、H3车行道改造、园区路面划线、G1区外新建人行道、B1栋人行道整改修补、A区人行道铺装、H1无障碍坡道及其他不可预见项目，具体施工范围详见工程量清单及施工图纸。</w:t>
      </w:r>
    </w:p>
    <w:p>
      <w:pPr>
        <w:pStyle w:val="6"/>
        <w:keepNext w:val="0"/>
        <w:keepLines w:val="0"/>
        <w:pageBreakBefore w:val="0"/>
        <w:widowControl w:val="0"/>
        <w:kinsoku/>
        <w:wordWrap/>
        <w:overflowPunct/>
        <w:topLinePunct w:val="0"/>
        <w:bidi w:val="0"/>
        <w:snapToGrid/>
        <w:spacing w:beforeAutospacing="0" w:afterAutospacing="0" w:line="360" w:lineRule="auto"/>
        <w:rPr>
          <w:rFonts w:hint="default"/>
          <w:color w:val="auto"/>
          <w:highlight w:val="none"/>
          <w:lang w:val="en-US"/>
        </w:rPr>
      </w:pPr>
      <w:bookmarkStart w:id="135" w:name="_Toc2183"/>
      <w:bookmarkEnd w:id="135"/>
      <w:r>
        <w:rPr>
          <w:rFonts w:hint="eastAsia"/>
          <w:color w:val="auto"/>
          <w:highlight w:val="none"/>
          <w:lang w:eastAsia="zh-CN"/>
        </w:rPr>
        <w:t>三</w:t>
      </w:r>
      <w:r>
        <w:rPr>
          <w:rFonts w:hint="eastAsia"/>
          <w:color w:val="auto"/>
          <w:highlight w:val="none"/>
        </w:rPr>
        <w:t>、</w:t>
      </w:r>
      <w:r>
        <w:rPr>
          <w:rFonts w:hint="eastAsia"/>
          <w:color w:val="auto"/>
          <w:highlight w:val="none"/>
          <w:lang w:val="en-US" w:eastAsia="zh-CN"/>
        </w:rPr>
        <w:t>采购内容及预算（明细清单详见附件)</w:t>
      </w:r>
    </w:p>
    <w:tbl>
      <w:tblPr>
        <w:tblStyle w:val="5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8"/>
        <w:gridCol w:w="5239"/>
        <w:gridCol w:w="2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65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单项工程名称</w:t>
            </w:r>
          </w:p>
        </w:tc>
        <w:tc>
          <w:tcPr>
            <w:tcW w:w="14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5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零星修缮项目</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1423155.58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AB塔设备间地面改造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263347.98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AB塔裙楼过道及卫生间增加风机盘管</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209091.92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H1栋首层修缮</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200137.8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H1更换玻璃雨棚</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展示中心贴膜及其他附属工程</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186869.39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外阳台天花改造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552845.92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环境提升</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1375186.47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湖区驳岸景观提升</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170652.42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环湖跑道改造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427925.83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H区篮球场改造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451402.33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H3车行道改造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152096.7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园区路面划线</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G1区外新建人行道</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20358.25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B1栋人行道整改修补</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11096.67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A区人行道铺装</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80538.29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H1无障碍坡道</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56965.26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3</w:t>
            </w:r>
          </w:p>
        </w:tc>
        <w:tc>
          <w:tcPr>
            <w:tcW w:w="26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5"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44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highlight w:val="none"/>
              </w:rPr>
              <w:t>3448342.05</w:t>
            </w:r>
          </w:p>
        </w:tc>
      </w:tr>
    </w:tbl>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textAlignment w:val="auto"/>
        <w:outlineLvl w:val="9"/>
        <w:rPr>
          <w:rFonts w:hint="eastAsia"/>
          <w:b w:val="0"/>
          <w:bCs/>
          <w:color w:val="auto"/>
          <w:highlight w:val="none"/>
          <w:lang w:eastAsia="zh-CN"/>
        </w:rPr>
      </w:pPr>
    </w:p>
    <w:p>
      <w:pPr>
        <w:pStyle w:val="6"/>
        <w:keepNext w:val="0"/>
        <w:keepLines w:val="0"/>
        <w:pageBreakBefore w:val="0"/>
        <w:widowControl w:val="0"/>
        <w:kinsoku/>
        <w:wordWrap/>
        <w:overflowPunct/>
        <w:topLinePunct w:val="0"/>
        <w:bidi w:val="0"/>
        <w:snapToGrid/>
        <w:spacing w:beforeAutospacing="0" w:afterAutospacing="0" w:line="360" w:lineRule="auto"/>
        <w:rPr>
          <w:rFonts w:hint="eastAsia"/>
          <w:color w:val="auto"/>
          <w:highlight w:val="none"/>
        </w:rPr>
      </w:pPr>
      <w:r>
        <w:rPr>
          <w:rFonts w:hint="eastAsia"/>
          <w:color w:val="auto"/>
          <w:highlight w:val="none"/>
          <w:lang w:eastAsia="zh-CN"/>
        </w:rPr>
        <w:t>四</w:t>
      </w:r>
      <w:r>
        <w:rPr>
          <w:rFonts w:hint="eastAsia"/>
          <w:color w:val="auto"/>
          <w:highlight w:val="none"/>
        </w:rPr>
        <w:t>、服务要求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和采购人签字验收合格之日起算，质保期期限不少于2年，保修费用列入“售后服务报价”中并计入总价；质保期内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3、施工时间安排：暂定上午：7：45-12:00，下午 14:00-22:00，具体以采购人书面或口头通知为准。</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beforeAutospacing="0" w:afterAutospacing="0"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六</w:t>
      </w:r>
      <w:r>
        <w:rPr>
          <w:rFonts w:hint="eastAsia" w:hAnsi="宋体" w:cs="宋体"/>
          <w:color w:val="auto"/>
          <w:sz w:val="21"/>
          <w:szCs w:val="21"/>
          <w:highlight w:val="none"/>
        </w:rPr>
        <w:t>）验收要求、验收标准及方法要求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w:t>
      </w:r>
      <w:r>
        <w:rPr>
          <w:rFonts w:hint="eastAsia" w:hAnsi="宋体" w:cs="宋体"/>
          <w:color w:val="auto"/>
          <w:sz w:val="21"/>
          <w:szCs w:val="21"/>
          <w:highlight w:val="none"/>
          <w:lang w:val="en-US" w:eastAsia="zh-CN"/>
        </w:rPr>
        <w:t>单项</w:t>
      </w:r>
      <w:r>
        <w:rPr>
          <w:rFonts w:hint="eastAsia" w:hAnsi="宋体" w:cs="宋体"/>
          <w:color w:val="auto"/>
          <w:sz w:val="21"/>
          <w:szCs w:val="21"/>
          <w:highlight w:val="none"/>
        </w:rPr>
        <w:t>工程以及有关工作，包括合同要求的试验、试运行以及检验和验收均已完成，</w:t>
      </w:r>
      <w:r>
        <w:rPr>
          <w:rFonts w:hint="eastAsia" w:hAnsi="宋体" w:cs="宋体"/>
          <w:color w:val="auto"/>
          <w:sz w:val="21"/>
          <w:szCs w:val="21"/>
          <w:highlight w:val="none"/>
          <w:lang w:val="en-US" w:eastAsia="zh-CN"/>
        </w:rPr>
        <w:t>且</w:t>
      </w:r>
      <w:r>
        <w:rPr>
          <w:rFonts w:hint="eastAsia" w:hAnsi="宋体" w:cs="宋体"/>
          <w:color w:val="auto"/>
          <w:sz w:val="21"/>
          <w:szCs w:val="21"/>
          <w:highlight w:val="none"/>
        </w:rPr>
        <w:t>符合合同要求</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可申请合同完工验收</w:t>
      </w:r>
      <w:r>
        <w:rPr>
          <w:rFonts w:hint="eastAsia" w:hAnsi="宋体" w:cs="宋体"/>
          <w:color w:val="auto"/>
          <w:sz w:val="21"/>
          <w:szCs w:val="21"/>
          <w:highlight w:val="none"/>
        </w:rPr>
        <w:t>；</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w:t>
      </w:r>
      <w:r>
        <w:rPr>
          <w:rFonts w:hint="eastAsia" w:hAnsi="宋体" w:cs="宋体"/>
          <w:color w:val="auto"/>
          <w:sz w:val="21"/>
          <w:szCs w:val="21"/>
          <w:highlight w:val="none"/>
          <w:lang w:val="en-US" w:eastAsia="zh-CN"/>
        </w:rPr>
        <w:t>全部</w:t>
      </w:r>
      <w:r>
        <w:rPr>
          <w:rFonts w:hint="eastAsia" w:hAnsi="宋体" w:cs="宋体"/>
          <w:color w:val="auto"/>
          <w:sz w:val="21"/>
          <w:szCs w:val="21"/>
          <w:highlight w:val="none"/>
        </w:rPr>
        <w:t>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2、已标价工程量清单中有适用于变更工程的子目，采用该子目的单价。</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3、已标价工程量清单中无适用于变更工程的子目，但有类似子目的，可在合理范围内参照类似子目的单价，由采购人与成交供应商商定。</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w:t>
      </w:r>
      <w:r>
        <w:rPr>
          <w:rFonts w:hint="eastAsia" w:hAnsi="宋体" w:cs="宋体"/>
          <w:color w:val="auto"/>
          <w:sz w:val="21"/>
          <w:szCs w:val="21"/>
          <w:highlight w:val="none"/>
          <w:lang w:eastAsia="zh-CN"/>
        </w:rPr>
        <w:t>无</w:t>
      </w:r>
      <w:r>
        <w:rPr>
          <w:rFonts w:hint="eastAsia" w:hAnsi="宋体" w:cs="宋体"/>
          <w:color w:val="auto"/>
          <w:sz w:val="21"/>
          <w:szCs w:val="21"/>
          <w:highlight w:val="none"/>
        </w:rPr>
        <w:t>类似子目的单价，应按以下方法确定变更工程价款：</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会同市财政局、市住房和城乡建设局通过市场调查确定；</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pStyle w:val="41"/>
        <w:jc w:val="left"/>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bidi="ar-SA"/>
        </w:rPr>
        <w:t>成交供应商必须按最终的中标报价向采购人补充提交工程量清单报价表，</w:t>
      </w:r>
      <w:r>
        <w:rPr>
          <w:rFonts w:hint="eastAsia" w:ascii="宋体" w:hAnsi="宋体" w:eastAsia="宋体" w:cs="宋体"/>
          <w:color w:val="auto"/>
          <w:sz w:val="21"/>
          <w:szCs w:val="21"/>
          <w:highlight w:val="none"/>
          <w:lang w:val="en-US" w:eastAsia="zh-CN"/>
        </w:rPr>
        <w:t xml:space="preserve">工程量清单报价表不得出现算术性错误及严重不平衡报价。承包人投标价分部分项清单项目填报的综合单价(P0)与发包人招标控制价相应清单项目的综合单价(P1)偏差超过一定幅度时，即当 P0＜P1×（1-L）×(l-15%)或 P0＞P1×(1+15%)时（L 为报价浮动率），承包人填报的综合单价 P0视为严重不平衡报价。 </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）其他要求：</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beforeAutospacing="0" w:afterAutospacing="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beforeAutospacing="0" w:afterAutospacing="0" w:line="360" w:lineRule="auto"/>
        <w:ind w:firstLine="420" w:firstLineChars="200"/>
        <w:jc w:val="both"/>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bookmarkEnd w:id="132"/>
    <w:p>
      <w:pPr>
        <w:pStyle w:val="5"/>
        <w:keepNext/>
        <w:keepLines/>
        <w:pageBreakBefore/>
        <w:numPr>
          <w:ilvl w:val="0"/>
          <w:numId w:val="14"/>
        </w:numPr>
        <w:spacing w:beforeAutospacing="0" w:afterAutospacing="0"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评审工作大纲</w:t>
      </w:r>
    </w:p>
    <w:p>
      <w:pPr>
        <w:pStyle w:val="2"/>
        <w:spacing w:beforeAutospacing="0" w:afterAutospacing="0"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ascii="宋体" w:hAnsi="宋体"/>
                <w:b/>
                <w:bCs/>
                <w:color w:val="auto"/>
                <w:szCs w:val="21"/>
                <w:highlight w:val="none"/>
              </w:rPr>
            </w:pPr>
            <w:r>
              <w:rPr>
                <w:rFonts w:hint="eastAsia" w:ascii="宋体" w:hAnsi="宋体"/>
                <w:b/>
                <w:bCs/>
                <w:color w:val="auto"/>
                <w:szCs w:val="21"/>
                <w:highlight w:val="none"/>
              </w:rPr>
              <w:t>内容</w:t>
            </w:r>
          </w:p>
        </w:tc>
        <w:tc>
          <w:tcPr>
            <w:tcW w:w="1230" w:type="dxa"/>
            <w:vAlign w:val="center"/>
          </w:tcPr>
          <w:p>
            <w:pPr>
              <w:pStyle w:val="144"/>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beforeAutospacing="0" w:afterAutospacing="0"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highlight w:val="none"/>
              </w:rPr>
            </w:pP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beforeAutospacing="0" w:afterAutospacing="0"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highlight w:val="none"/>
              </w:rPr>
            </w:pP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highlight w:val="none"/>
              </w:rPr>
            </w:pP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highlight w:val="none"/>
              </w:rPr>
            </w:pP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highlight w:val="none"/>
              </w:rPr>
            </w:pP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highlight w:val="none"/>
              </w:rPr>
            </w:pP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beforeAutospacing="0" w:afterAutospacing="0" w:line="360" w:lineRule="auto"/>
              <w:ind w:firstLine="0" w:firstLineChars="0"/>
              <w:jc w:val="center"/>
              <w:rPr>
                <w:rFonts w:ascii="宋体" w:hAnsi="宋体"/>
                <w:bCs/>
                <w:color w:val="auto"/>
                <w:szCs w:val="21"/>
                <w:highlight w:val="none"/>
              </w:rPr>
            </w:pPr>
          </w:p>
        </w:tc>
        <w:tc>
          <w:tcPr>
            <w:tcW w:w="5801" w:type="dxa"/>
            <w:vAlign w:val="center"/>
          </w:tcPr>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beforeAutospacing="0" w:afterAutospacing="0" w:line="360" w:lineRule="auto"/>
              <w:ind w:firstLine="0" w:firstLineChars="0"/>
              <w:jc w:val="left"/>
              <w:rPr>
                <w:rFonts w:ascii="宋体" w:hAnsi="宋体"/>
                <w:bCs/>
                <w:color w:val="auto"/>
                <w:szCs w:val="21"/>
                <w:highlight w:val="none"/>
              </w:rPr>
            </w:pPr>
          </w:p>
        </w:tc>
      </w:tr>
    </w:tbl>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（一）资格性检查</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1)资格瑕疵</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2)磋商保证金瑕疵</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（二）符合性检查</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1)供应商代表身份审查</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2)响应文件的有效性、完整性瑕疵</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3)技术响应瑕疵</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4)商务响应瑕疵</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5）报价</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6）违规行为</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beforeAutospacing="0" w:afterAutospacing="0"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beforeAutospacing="0" w:afterAutospacing="0"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5"/>
        </w:numPr>
        <w:spacing w:beforeAutospacing="0" w:afterAutospacing="0"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法律法规及磋商文件中规定的其它情形。</w:t>
      </w:r>
    </w:p>
    <w:p>
      <w:pPr>
        <w:pStyle w:val="2"/>
        <w:numPr>
          <w:ilvl w:val="0"/>
          <w:numId w:val="11"/>
        </w:numPr>
        <w:spacing w:beforeAutospacing="0" w:afterAutospacing="0"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9"/>
        <w:spacing w:beforeAutospacing="0" w:afterAutospacing="0"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beforeAutospacing="0" w:afterAutospacing="0"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50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0" w:beforeAutospacing="0" w:after="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15</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公司实力</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投标人具有由国家认证认可监督管理部门批准设立的认证机构颁发并在有效期内的以下证书，每具有一个证书得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分，最高得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（1）质量管理体系认证证书；</w:t>
            </w:r>
          </w:p>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（2）环境管理体系认证证书；</w:t>
            </w:r>
          </w:p>
          <w:p>
            <w:pPr>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（3）职业健康安全管理体系认证证书。</w:t>
            </w:r>
          </w:p>
          <w:p>
            <w:pPr>
              <w:snapToGrid w:val="0"/>
              <w:spacing w:before="99" w:beforeLines="30" w:beforeAutospacing="0" w:afterAutospacing="0" w:line="360" w:lineRule="auto"/>
              <w:ind w:right="168" w:rightChars="7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rPr>
              <w:t>注：须提供有效证书复印件加盖投标人公章。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99" w:beforeLines="30" w:beforeAutospacing="0" w:afterAutospacing="0" w:line="360" w:lineRule="auto"/>
              <w:ind w:right="168" w:rightChars="7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投标人</w:t>
            </w:r>
            <w:r>
              <w:rPr>
                <w:rFonts w:hint="eastAsia" w:ascii="宋体" w:hAnsi="宋体" w:eastAsia="宋体" w:cs="宋体"/>
                <w:color w:val="auto"/>
                <w:kern w:val="2"/>
                <w:sz w:val="21"/>
                <w:szCs w:val="21"/>
                <w:highlight w:val="none"/>
                <w:lang w:val="en-US" w:eastAsia="zh-CN"/>
              </w:rPr>
              <w:t>2020</w:t>
            </w:r>
            <w:r>
              <w:rPr>
                <w:rFonts w:hint="eastAsia" w:ascii="宋体" w:hAnsi="宋体" w:eastAsia="宋体" w:cs="宋体"/>
                <w:color w:val="auto"/>
                <w:kern w:val="2"/>
                <w:sz w:val="21"/>
                <w:szCs w:val="21"/>
                <w:highlight w:val="none"/>
              </w:rPr>
              <w:t>年（以合同签订时间为准）以来具有</w:t>
            </w:r>
            <w:r>
              <w:rPr>
                <w:rFonts w:hint="eastAsia" w:hAnsi="宋体" w:cs="宋体"/>
                <w:color w:val="auto"/>
                <w:kern w:val="2"/>
                <w:sz w:val="21"/>
                <w:szCs w:val="21"/>
                <w:highlight w:val="none"/>
                <w:lang w:val="en-US" w:eastAsia="zh-CN"/>
              </w:rPr>
              <w:t>工程类</w:t>
            </w:r>
            <w:r>
              <w:rPr>
                <w:rFonts w:hint="eastAsia" w:ascii="宋体" w:hAnsi="宋体" w:eastAsia="宋体" w:cs="宋体"/>
                <w:color w:val="auto"/>
                <w:kern w:val="2"/>
                <w:sz w:val="21"/>
                <w:szCs w:val="21"/>
                <w:highlight w:val="none"/>
              </w:rPr>
              <w:t>业绩的，每提供一个业绩合同得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分，满分</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分。注：须提供合同复印件</w:t>
            </w:r>
            <w:r>
              <w:rPr>
                <w:rFonts w:hint="eastAsia" w:ascii="宋体" w:hAnsi="宋体" w:eastAsia="宋体" w:cs="宋体"/>
                <w:color w:val="auto"/>
                <w:kern w:val="2"/>
                <w:sz w:val="21"/>
                <w:szCs w:val="21"/>
                <w:highlight w:val="none"/>
                <w:lang w:val="en-US" w:eastAsia="zh-CN"/>
              </w:rPr>
              <w:t>及中标通知书</w:t>
            </w:r>
            <w:r>
              <w:rPr>
                <w:rFonts w:hint="eastAsia" w:ascii="宋体" w:hAnsi="宋体" w:eastAsia="宋体" w:cs="宋体"/>
                <w:color w:val="auto"/>
                <w:kern w:val="2"/>
                <w:sz w:val="21"/>
                <w:szCs w:val="21"/>
                <w:highlight w:val="none"/>
              </w:rPr>
              <w:t>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Cs/>
                <w:color w:val="auto"/>
                <w:sz w:val="21"/>
                <w:szCs w:val="21"/>
                <w:highlight w:val="none"/>
              </w:rPr>
              <w:t>技术力量</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1.项目负责人：具有注册二级或以上注册建造师证书的得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分；具有建筑施工企业项目负责人安全生产考核合格证书（即建安B证）的得1分，本项最高得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2.施工员1人：具有施工员岗位证或培训证，每提供1人得0.5分，共0.5分； </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3.质检（量）员1人：具有质量员（质检员）的岗位证或培训证，得0.5分；</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4.材料员1人：具有材料员岗位证或培训证，得0.5分； </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right="0" w:rightChars="0"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5.资料员1人：具有资料员岗位证或培训证，得0.5分。注：投标文件提供上述项目技术人员的相关证书复印件并加盖投标人公章，以及投标截止时间前半年内任意一个月在投标人单位购买社保的证明。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ascii="宋体" w:hAnsi="宋体" w:eastAsia="宋体" w:cs="宋体"/>
                <w:b/>
                <w:color w:val="auto"/>
                <w:kern w:val="2"/>
                <w:sz w:val="21"/>
                <w:szCs w:val="21"/>
                <w:highlight w:val="none"/>
                <w:lang w:val="en-US" w:eastAsia="zh-CN"/>
              </w:rPr>
              <w:t>35</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w:t>
            </w:r>
            <w:r>
              <w:rPr>
                <w:rFonts w:hint="eastAsia"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在施工方案能满足本项目施工需要的基础上，对施工技术及程序、工作重点、难点及其解决措施、安全防护、文明施工方案以及与</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的协调、时间响应等内容的科学性、安全性、可行性、完整性进行综合评价：</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能详述本项目情况和需求，</w:t>
            </w:r>
            <w:r>
              <w:rPr>
                <w:rFonts w:hint="eastAsia" w:hAnsi="宋体" w:cs="宋体"/>
                <w:color w:val="auto"/>
                <w:kern w:val="0"/>
                <w:sz w:val="21"/>
                <w:szCs w:val="21"/>
                <w:highlight w:val="none"/>
                <w:lang w:val="en-US" w:eastAsia="zh-CN" w:bidi="ar"/>
              </w:rPr>
              <w:t>施工</w:t>
            </w:r>
            <w:r>
              <w:rPr>
                <w:rFonts w:hint="eastAsia" w:ascii="宋体" w:hAnsi="宋体" w:eastAsia="宋体" w:cs="宋体"/>
                <w:color w:val="auto"/>
                <w:kern w:val="0"/>
                <w:sz w:val="21"/>
                <w:szCs w:val="21"/>
                <w:highlight w:val="none"/>
                <w:lang w:val="en-US" w:eastAsia="zh-CN" w:bidi="ar"/>
              </w:rPr>
              <w:t>方案设计合理，并描述详尽，具有较强的可操作性，整体实施方案描述详细，</w:t>
            </w:r>
            <w:r>
              <w:rPr>
                <w:rFonts w:hint="eastAsia" w:ascii="宋体" w:hAnsi="宋体" w:eastAsia="宋体" w:cs="宋体"/>
                <w:color w:val="auto"/>
                <w:sz w:val="21"/>
                <w:szCs w:val="21"/>
                <w:highlight w:val="none"/>
                <w:lang w:eastAsia="zh-CN"/>
              </w:rPr>
              <w:t>配备项目所需材料设备等资源、对施工条件的管理要求明确等，整体</w:t>
            </w:r>
            <w:r>
              <w:rPr>
                <w:rFonts w:hint="eastAsia" w:ascii="宋体" w:hAnsi="宋体" w:eastAsia="宋体" w:cs="宋体"/>
                <w:color w:val="auto"/>
                <w:sz w:val="21"/>
                <w:szCs w:val="21"/>
                <w:highlight w:val="none"/>
              </w:rPr>
              <w:t>施工实施方案</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清晰、科学可行，得</w:t>
            </w: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val="0"/>
              <w:snapToGri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能基本说明项目概况，</w:t>
            </w:r>
            <w:r>
              <w:rPr>
                <w:rFonts w:hint="eastAsia" w:hAnsi="宋体" w:cs="宋体"/>
                <w:color w:val="auto"/>
                <w:kern w:val="0"/>
                <w:sz w:val="21"/>
                <w:szCs w:val="21"/>
                <w:highlight w:val="none"/>
                <w:lang w:val="en-US" w:eastAsia="zh-CN" w:bidi="ar"/>
              </w:rPr>
              <w:t>施工</w:t>
            </w:r>
            <w:r>
              <w:rPr>
                <w:rFonts w:hint="eastAsia" w:ascii="宋体" w:hAnsi="宋体" w:eastAsia="宋体" w:cs="宋体"/>
                <w:color w:val="auto"/>
                <w:kern w:val="0"/>
                <w:sz w:val="21"/>
                <w:szCs w:val="21"/>
                <w:highlight w:val="none"/>
                <w:lang w:val="en-US" w:eastAsia="zh-CN" w:bidi="ar"/>
              </w:rPr>
              <w:t>方案设计相对合理，描述一般，具有基本可操作性</w:t>
            </w:r>
            <w:r>
              <w:rPr>
                <w:rFonts w:hint="eastAsia" w:ascii="宋体" w:hAnsi="宋体" w:eastAsia="宋体" w:cs="宋体"/>
                <w:color w:val="auto"/>
                <w:sz w:val="21"/>
                <w:szCs w:val="21"/>
                <w:highlight w:val="none"/>
                <w:lang w:eastAsia="zh-CN"/>
              </w:rPr>
              <w:t>，但不够详尽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val="0"/>
              <w:snapToGrid/>
              <w:spacing w:line="336"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eastAsia="zh-CN"/>
              </w:rPr>
              <w:t>对项目情况不熟悉，</w:t>
            </w:r>
            <w:r>
              <w:rPr>
                <w:rFonts w:hint="eastAsia" w:hAnsi="宋体" w:cs="宋体"/>
                <w:color w:val="auto"/>
                <w:kern w:val="0"/>
                <w:sz w:val="21"/>
                <w:szCs w:val="21"/>
                <w:highlight w:val="none"/>
                <w:lang w:val="en-US" w:eastAsia="zh-CN" w:bidi="ar"/>
              </w:rPr>
              <w:t>施工</w:t>
            </w:r>
            <w:r>
              <w:rPr>
                <w:rFonts w:hint="eastAsia" w:ascii="宋体" w:hAnsi="宋体" w:eastAsia="宋体" w:cs="宋体"/>
                <w:color w:val="auto"/>
                <w:kern w:val="0"/>
                <w:sz w:val="21"/>
                <w:szCs w:val="21"/>
                <w:highlight w:val="none"/>
                <w:lang w:val="en-US" w:eastAsia="zh-CN" w:bidi="ar"/>
              </w:rPr>
              <w:t>方案总体设计一般，描述不详细，可操作性差，得1分；</w:t>
            </w:r>
          </w:p>
          <w:p>
            <w:pPr>
              <w:keepNext w:val="0"/>
              <w:keepLines w:val="0"/>
              <w:pageBreakBefore w:val="0"/>
              <w:kinsoku/>
              <w:wordWrap/>
              <w:overflowPunct/>
              <w:topLinePunct w:val="0"/>
              <w:autoSpaceDE w:val="0"/>
              <w:autoSpaceDN w:val="0"/>
              <w:bidi w:val="0"/>
              <w:adjustRightInd w:val="0"/>
              <w:snapToGrid/>
              <w:spacing w:line="336"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0" w:afterAutospacing="0"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根据各响应供应商的安全文明施工保证措施进行</w:t>
            </w:r>
            <w:r>
              <w:rPr>
                <w:rFonts w:hint="eastAsia" w:ascii="宋体" w:hAnsi="宋体" w:eastAsia="宋体" w:cs="宋体"/>
                <w:color w:val="auto"/>
                <w:kern w:val="0"/>
                <w:sz w:val="21"/>
                <w:szCs w:val="21"/>
                <w:highlight w:val="none"/>
                <w:lang w:val="en-US" w:eastAsia="zh-CN" w:bidi="ar"/>
              </w:rPr>
              <w:t>综合评价</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优：上岗人员有相应的上岗证；</w:t>
            </w:r>
            <w:r>
              <w:rPr>
                <w:rFonts w:hint="eastAsia" w:ascii="宋体" w:hAnsi="宋体" w:eastAsia="宋体" w:cs="宋体"/>
                <w:color w:val="auto"/>
                <w:sz w:val="21"/>
                <w:szCs w:val="21"/>
                <w:highlight w:val="none"/>
              </w:rPr>
              <w:t>严格遵守国家、省、市有关防火、爆破和施工安全以及文明施工、环卫和城管等规定，管理措施和规章制度规范、完善，并制定相应的应急预案，实用性与可行性好，得</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lang w:eastAsia="zh-CN"/>
              </w:rPr>
              <w:t>：配备人员列表；对</w:t>
            </w:r>
            <w:r>
              <w:rPr>
                <w:rFonts w:hint="eastAsia" w:ascii="宋体" w:hAnsi="宋体" w:eastAsia="宋体" w:cs="宋体"/>
                <w:color w:val="auto"/>
                <w:sz w:val="21"/>
                <w:szCs w:val="21"/>
                <w:highlight w:val="none"/>
              </w:rPr>
              <w:t>国家、省、市有关防火、爆破和施工安全以及文明施工、环卫和城管等规定</w:t>
            </w:r>
            <w:r>
              <w:rPr>
                <w:rFonts w:hint="eastAsia" w:ascii="宋体" w:hAnsi="宋体" w:eastAsia="宋体" w:cs="宋体"/>
                <w:color w:val="auto"/>
                <w:sz w:val="21"/>
                <w:szCs w:val="21"/>
                <w:highlight w:val="none"/>
                <w:lang w:eastAsia="zh-CN"/>
              </w:rPr>
              <w:t>基本了解</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管理措施和规章制度的规范性、完善度较差，实用性与可行性较差，</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eastAsia="zh-CN"/>
              </w:rPr>
              <w:t>提供对应方案</w:t>
            </w:r>
            <w:r>
              <w:rPr>
                <w:rFonts w:hint="eastAsia" w:ascii="宋体" w:hAnsi="宋体" w:eastAsia="宋体" w:cs="宋体"/>
                <w:color w:val="auto"/>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0" w:afterAutospacing="0" w:line="36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0" w:afterAutospacing="0" w:line="360" w:lineRule="auto"/>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8分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val="0"/>
              <w:bidi w:val="0"/>
              <w:adjustRightInd w:val="0"/>
              <w:snapToGrid/>
              <w:spacing w:line="336" w:lineRule="auto"/>
              <w:ind w:firstLine="420"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根据各响应供应商的质量保证承诺进行综合评价：</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优：能提供现行有效的施工验收规范和相关法规、规定的依据文件，对应质量标准的执行明确，保证措施合理、具体可行、针对性强，得8分；</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良：对现有执行的验收规定基本了解；对质量标准的执行较明确合理，保证措施较妥当、可行性较好，得4分；</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中：对质量标准的执行一般，保证措施一般；得1分；</w:t>
            </w:r>
          </w:p>
          <w:p>
            <w:pPr>
              <w:keepNext w:val="0"/>
              <w:keepLines w:val="0"/>
              <w:pageBreakBefore w:val="0"/>
              <w:widowControl/>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差：无提供对应方案不得分。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应急保障措施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根据投标人所提供应急保障措施实施方案进行综合评价</w:t>
            </w:r>
            <w:r>
              <w:rPr>
                <w:rFonts w:hint="eastAsia" w:ascii="宋体" w:hAnsi="宋体" w:eastAsia="宋体" w:cs="宋体"/>
                <w:bCs/>
                <w:color w:val="auto"/>
                <w:sz w:val="21"/>
                <w:szCs w:val="21"/>
                <w:highlight w:val="none"/>
              </w:rPr>
              <w:t>：</w:t>
            </w:r>
          </w:p>
          <w:p>
            <w:pPr>
              <w:keepNext w:val="0"/>
              <w:keepLines w:val="0"/>
              <w:pageBreakBefore w:val="0"/>
              <w:tabs>
                <w:tab w:val="left" w:pos="312"/>
              </w:tabs>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优：</w:t>
            </w:r>
            <w:r>
              <w:rPr>
                <w:rFonts w:hint="eastAsia" w:ascii="宋体" w:hAnsi="宋体" w:eastAsia="宋体" w:cs="宋体"/>
                <w:color w:val="auto"/>
                <w:kern w:val="0"/>
                <w:sz w:val="21"/>
                <w:szCs w:val="21"/>
                <w:highlight w:val="none"/>
                <w:lang w:val="en-US" w:eastAsia="zh-CN" w:bidi="ar"/>
              </w:rPr>
              <w:t>方案非常明确、详尽，合理，可操作性强的得</w:t>
            </w:r>
            <w:r>
              <w:rPr>
                <w:rFonts w:hint="eastAsia"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Cs/>
                <w:color w:val="auto"/>
                <w:sz w:val="21"/>
                <w:szCs w:val="21"/>
                <w:highlight w:val="none"/>
              </w:rPr>
              <w:t>；</w:t>
            </w:r>
          </w:p>
          <w:p>
            <w:pPr>
              <w:keepNext w:val="0"/>
              <w:keepLines w:val="0"/>
              <w:pageBreakBefore w:val="0"/>
              <w:tabs>
                <w:tab w:val="left" w:pos="312"/>
              </w:tabs>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良</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方案明确、详尽，合理，可操作性较好的得</w:t>
            </w:r>
            <w:r>
              <w:rPr>
                <w:rFonts w:hint="eastAsia"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Cs/>
                <w:color w:val="auto"/>
                <w:sz w:val="21"/>
                <w:szCs w:val="21"/>
                <w:highlight w:val="none"/>
              </w:rPr>
              <w:t>；</w:t>
            </w:r>
          </w:p>
          <w:p>
            <w:pPr>
              <w:keepNext w:val="0"/>
              <w:keepLines w:val="0"/>
              <w:pageBreakBefore w:val="0"/>
              <w:tabs>
                <w:tab w:val="left" w:pos="312"/>
              </w:tabs>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方案基本明确、合理，可操作性一般的得</w:t>
            </w:r>
            <w:r>
              <w:rPr>
                <w:rFonts w:hint="eastAsia"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Cs/>
                <w:color w:val="auto"/>
                <w:sz w:val="21"/>
                <w:szCs w:val="21"/>
                <w:highlight w:val="none"/>
                <w:lang w:eastAsia="zh-CN"/>
              </w:rPr>
              <w:t>；</w:t>
            </w:r>
          </w:p>
          <w:p>
            <w:pPr>
              <w:keepNext w:val="0"/>
              <w:keepLines w:val="0"/>
              <w:pageBreakBefore w:val="0"/>
              <w:tabs>
                <w:tab w:val="left" w:pos="312"/>
              </w:tabs>
              <w:kinsoku/>
              <w:wordWrap/>
              <w:overflowPunct/>
              <w:topLinePunct w:val="0"/>
              <w:autoSpaceDE w:val="0"/>
              <w:autoSpaceDN w:val="0"/>
              <w:bidi w:val="0"/>
              <w:adjustRightInd w:val="0"/>
              <w:snapToGrid/>
              <w:spacing w:beforeAutospacing="0" w:afterAutospacing="0" w:line="336"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差：</w:t>
            </w:r>
            <w:r>
              <w:rPr>
                <w:rFonts w:hint="eastAsia" w:ascii="宋体" w:hAnsi="宋体" w:eastAsia="宋体" w:cs="宋体"/>
                <w:bCs/>
                <w:color w:val="auto"/>
                <w:sz w:val="21"/>
                <w:szCs w:val="21"/>
                <w:highlight w:val="none"/>
              </w:rPr>
              <w:t>未提供</w:t>
            </w:r>
            <w:r>
              <w:rPr>
                <w:rFonts w:hint="eastAsia" w:ascii="宋体" w:hAnsi="宋体" w:eastAsia="宋体" w:cs="宋体"/>
                <w:bCs/>
                <w:color w:val="auto"/>
                <w:sz w:val="21"/>
                <w:szCs w:val="21"/>
                <w:highlight w:val="none"/>
                <w:lang w:eastAsia="zh-CN"/>
              </w:rPr>
              <w:t>对应方案</w:t>
            </w:r>
            <w:r>
              <w:rPr>
                <w:rFonts w:hint="eastAsia" w:ascii="宋体" w:hAnsi="宋体" w:eastAsia="宋体" w:cs="宋体"/>
                <w:bCs/>
                <w:color w:val="auto"/>
                <w:sz w:val="21"/>
                <w:szCs w:val="21"/>
                <w:highlight w:val="none"/>
              </w:rPr>
              <w:t>不得分。</w:t>
            </w:r>
          </w:p>
        </w:tc>
      </w:tr>
    </w:tbl>
    <w:p>
      <w:pPr>
        <w:widowControl/>
        <w:tabs>
          <w:tab w:val="left" w:pos="907"/>
        </w:tabs>
        <w:snapToGrid w:val="0"/>
        <w:spacing w:beforeAutospacing="0" w:afterAutospacing="0"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beforeAutospacing="0" w:afterAutospacing="0"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beforeAutospacing="0" w:afterAutospacing="0"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beforeAutospacing="0" w:afterAutospacing="0"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9"/>
        <w:spacing w:beforeAutospacing="0" w:afterAutospacing="0" w:line="360" w:lineRule="auto"/>
        <w:ind w:firstLine="422" w:firstLineChars="200"/>
        <w:rPr>
          <w:rFonts w:hAnsi="宋体"/>
          <w:b/>
          <w:color w:val="auto"/>
          <w:szCs w:val="21"/>
          <w:highlight w:val="none"/>
        </w:rPr>
      </w:pPr>
    </w:p>
    <w:p>
      <w:pPr>
        <w:pStyle w:val="29"/>
        <w:spacing w:beforeAutospacing="0" w:afterAutospacing="0"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beforeAutospacing="0" w:afterAutospacing="0"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beforeAutospacing="0" w:afterAutospacing="0"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beforeAutospacing="0" w:afterAutospacing="0" w:line="360" w:lineRule="auto"/>
        <w:ind w:firstLine="422" w:firstLineChars="200"/>
        <w:rPr>
          <w:rFonts w:hAnsi="宋体"/>
          <w:b/>
          <w:color w:val="auto"/>
          <w:szCs w:val="21"/>
          <w:highlight w:val="none"/>
        </w:rPr>
      </w:pPr>
    </w:p>
    <w:p>
      <w:pPr>
        <w:pStyle w:val="29"/>
        <w:spacing w:beforeAutospacing="0" w:afterAutospacing="0"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9"/>
        <w:spacing w:beforeAutospacing="0" w:afterAutospacing="0"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beforeAutospacing="0" w:afterAutospacing="0"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beforeAutospacing="0" w:afterAutospacing="0" w:line="360" w:lineRule="auto"/>
        <w:ind w:firstLine="422" w:firstLineChars="200"/>
        <w:rPr>
          <w:rFonts w:hAnsi="宋体"/>
          <w:b/>
          <w:color w:val="auto"/>
          <w:szCs w:val="21"/>
          <w:highlight w:val="none"/>
        </w:rPr>
      </w:pPr>
    </w:p>
    <w:p>
      <w:pPr>
        <w:pStyle w:val="29"/>
        <w:spacing w:beforeAutospacing="0" w:afterAutospacing="0"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beforeAutospacing="0" w:afterAutospacing="0"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pStyle w:val="5"/>
        <w:keepNext/>
        <w:keepLines/>
        <w:pageBreakBefore/>
        <w:numPr>
          <w:ilvl w:val="0"/>
          <w:numId w:val="14"/>
        </w:numPr>
        <w:spacing w:beforeAutospacing="0" w:afterAutospacing="0" w:line="360" w:lineRule="auto"/>
        <w:jc w:val="center"/>
        <w:rPr>
          <w:rFonts w:hAnsi="宋体"/>
          <w:b/>
          <w:bCs/>
          <w:color w:val="auto"/>
          <w:highlight w:val="none"/>
        </w:rPr>
      </w:pPr>
      <w:bookmarkStart w:id="136" w:name="_Toc15636"/>
      <w:bookmarkEnd w:id="136"/>
      <w:r>
        <w:rPr>
          <w:rFonts w:hint="eastAsia" w:hAnsi="宋体"/>
          <w:b/>
          <w:bCs/>
          <w:color w:val="auto"/>
          <w:kern w:val="44"/>
          <w:sz w:val="28"/>
          <w:szCs w:val="28"/>
          <w:highlight w:val="none"/>
          <w:lang w:val="zh-CN"/>
        </w:rPr>
        <w:t>合同条款格式</w:t>
      </w:r>
    </w:p>
    <w:p>
      <w:pPr>
        <w:rPr>
          <w:rFonts w:hint="eastAsia" w:eastAsia="宋体"/>
          <w:color w:val="auto"/>
          <w:highlight w:val="none"/>
          <w:lang w:val="en-US" w:eastAsia="zh-CN"/>
        </w:rPr>
      </w:pPr>
    </w:p>
    <w:p>
      <w:pPr>
        <w:spacing w:beforeAutospacing="0" w:afterAutospacing="0"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beforeAutospacing="0" w:afterAutospacing="0" w:line="600" w:lineRule="exact"/>
        <w:rPr>
          <w:rFonts w:hint="eastAsia" w:hAnsi="宋体" w:cs="宋体"/>
          <w:color w:val="auto"/>
          <w:sz w:val="21"/>
          <w:szCs w:val="21"/>
          <w:highlight w:val="none"/>
        </w:rPr>
      </w:pPr>
      <w:r>
        <w:rPr>
          <w:rFonts w:hint="eastAsia" w:hAnsi="宋体" w:cs="宋体"/>
          <w:b/>
          <w:color w:val="auto"/>
          <w:sz w:val="21"/>
          <w:szCs w:val="21"/>
          <w:highlight w:val="none"/>
        </w:rPr>
        <w:t>发包人：东莞市大学创新城建设发展有限公司</w:t>
      </w:r>
      <w:r>
        <w:rPr>
          <w:rFonts w:hint="eastAsia" w:hAnsi="宋体" w:cs="宋体"/>
          <w:color w:val="auto"/>
          <w:sz w:val="21"/>
          <w:szCs w:val="21"/>
          <w:highlight w:val="none"/>
        </w:rPr>
        <w:t>（以下简称甲方）</w:t>
      </w:r>
    </w:p>
    <w:p>
      <w:pPr>
        <w:spacing w:beforeAutospacing="0" w:afterAutospacing="0" w:line="600" w:lineRule="exact"/>
        <w:rPr>
          <w:rFonts w:eastAsia="仿宋_GB2312"/>
          <w:color w:val="auto"/>
          <w:sz w:val="21"/>
          <w:szCs w:val="21"/>
          <w:highlight w:val="none"/>
        </w:rPr>
      </w:pPr>
      <w:r>
        <w:rPr>
          <w:rFonts w:hint="eastAsia" w:hAnsi="宋体" w:cs="宋体"/>
          <w:b/>
          <w:color w:val="auto"/>
          <w:sz w:val="21"/>
          <w:szCs w:val="21"/>
          <w:highlight w:val="none"/>
        </w:rPr>
        <w:t xml:space="preserve">承包人：                          </w:t>
      </w:r>
      <w:r>
        <w:rPr>
          <w:rFonts w:hint="eastAsia" w:hAnsi="宋体" w:cs="宋体"/>
          <w:b/>
          <w:color w:val="auto"/>
          <w:sz w:val="21"/>
          <w:szCs w:val="21"/>
          <w:highlight w:val="none"/>
          <w:lang w:val="en-US" w:eastAsia="zh-CN"/>
        </w:rPr>
        <w:t xml:space="preserve">     </w:t>
      </w:r>
      <w:r>
        <w:rPr>
          <w:rFonts w:hint="eastAsia" w:hAnsi="宋体" w:cs="宋体"/>
          <w:b/>
          <w:color w:val="auto"/>
          <w:sz w:val="21"/>
          <w:szCs w:val="21"/>
          <w:highlight w:val="none"/>
        </w:rPr>
        <w:t xml:space="preserve">  </w:t>
      </w:r>
      <w:r>
        <w:rPr>
          <w:rFonts w:hint="eastAsia" w:hAnsi="宋体" w:cs="宋体"/>
          <w:color w:val="auto"/>
          <w:sz w:val="21"/>
          <w:szCs w:val="21"/>
          <w:highlight w:val="none"/>
        </w:rPr>
        <w:t>（以下简称乙方）</w:t>
      </w:r>
    </w:p>
    <w:p>
      <w:pPr>
        <w:spacing w:beforeAutospacing="0" w:afterAutospacing="0" w:line="600" w:lineRule="exact"/>
        <w:rPr>
          <w:rFonts w:eastAsia="仿宋_GB2312"/>
          <w:color w:val="auto"/>
          <w:sz w:val="21"/>
          <w:szCs w:val="21"/>
          <w:highlight w:val="none"/>
        </w:rPr>
      </w:pPr>
    </w:p>
    <w:p>
      <w:pPr>
        <w:spacing w:beforeAutospacing="0" w:afterAutospacing="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beforeAutospacing="0" w:afterAutospacing="0"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松山湖大学创新城--零星</w:t>
      </w:r>
      <w:r>
        <w:rPr>
          <w:rFonts w:hint="eastAsia" w:hAnsi="宋体" w:cs="宋体"/>
          <w:color w:val="auto"/>
          <w:sz w:val="21"/>
          <w:szCs w:val="21"/>
          <w:highlight w:val="none"/>
          <w:lang w:val="en-US" w:eastAsia="zh-CN"/>
        </w:rPr>
        <w:t>修缮及局部景观提升项目</w:t>
      </w:r>
      <w:r>
        <w:rPr>
          <w:rFonts w:hint="eastAsia" w:hAnsi="宋体" w:cs="宋体"/>
          <w:color w:val="auto"/>
          <w:sz w:val="21"/>
          <w:szCs w:val="21"/>
          <w:highlight w:val="none"/>
        </w:rPr>
        <w:t xml:space="preserve">                           </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（二）工程地点： </w:t>
      </w:r>
      <w:r>
        <w:rPr>
          <w:rFonts w:hint="eastAsia" w:hAnsi="宋体" w:cs="宋体"/>
          <w:color w:val="auto"/>
          <w:sz w:val="21"/>
          <w:szCs w:val="21"/>
          <w:highlight w:val="none"/>
          <w:lang w:val="en-US" w:eastAsia="zh-CN"/>
        </w:rPr>
        <w:t>东莞市松山湖国际创新创业社区</w:t>
      </w:r>
      <w:r>
        <w:rPr>
          <w:rFonts w:hint="eastAsia" w:hAnsi="宋体" w:cs="宋体"/>
          <w:color w:val="auto"/>
          <w:sz w:val="21"/>
          <w:szCs w:val="21"/>
          <w:highlight w:val="none"/>
        </w:rPr>
        <w:t xml:space="preserve">     </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（三）工程内容及施工范围：AB塔设备间地面改造</w:t>
      </w:r>
      <w:r>
        <w:rPr>
          <w:rFonts w:hint="eastAsia" w:hAnsi="宋体" w:cs="宋体"/>
          <w:color w:val="auto"/>
          <w:sz w:val="21"/>
          <w:szCs w:val="21"/>
          <w:highlight w:val="none"/>
          <w:lang w:eastAsia="zh-CN"/>
        </w:rPr>
        <w:t>、</w:t>
      </w:r>
      <w:r>
        <w:rPr>
          <w:rFonts w:hint="eastAsia" w:hAnsi="宋体" w:cs="宋体"/>
          <w:color w:val="auto"/>
          <w:sz w:val="21"/>
          <w:szCs w:val="21"/>
          <w:highlight w:val="none"/>
        </w:rPr>
        <w:t>AB塔裙楼过道及卫生间增加风机盘管</w:t>
      </w:r>
      <w:r>
        <w:rPr>
          <w:rFonts w:hint="eastAsia" w:hAnsi="宋体" w:cs="宋体"/>
          <w:color w:val="auto"/>
          <w:sz w:val="21"/>
          <w:szCs w:val="21"/>
          <w:highlight w:val="none"/>
          <w:lang w:eastAsia="zh-CN"/>
        </w:rPr>
        <w:t>、</w:t>
      </w:r>
      <w:r>
        <w:rPr>
          <w:rFonts w:hint="eastAsia" w:hAnsi="宋体" w:cs="宋体"/>
          <w:color w:val="auto"/>
          <w:sz w:val="21"/>
          <w:szCs w:val="21"/>
          <w:highlight w:val="none"/>
        </w:rPr>
        <w:t>H1栋首层修缮</w:t>
      </w:r>
      <w:r>
        <w:rPr>
          <w:rFonts w:hint="eastAsia" w:hAnsi="宋体" w:cs="宋体"/>
          <w:color w:val="auto"/>
          <w:sz w:val="21"/>
          <w:szCs w:val="21"/>
          <w:highlight w:val="none"/>
          <w:lang w:eastAsia="zh-CN"/>
        </w:rPr>
        <w:t>、</w:t>
      </w:r>
      <w:r>
        <w:rPr>
          <w:rFonts w:hint="eastAsia" w:hAnsi="宋体" w:cs="宋体"/>
          <w:color w:val="auto"/>
          <w:sz w:val="21"/>
          <w:szCs w:val="21"/>
          <w:highlight w:val="none"/>
        </w:rPr>
        <w:t>H1更换玻璃雨棚</w:t>
      </w:r>
      <w:r>
        <w:rPr>
          <w:rFonts w:hint="eastAsia" w:hAnsi="宋体" w:cs="宋体"/>
          <w:color w:val="auto"/>
          <w:sz w:val="21"/>
          <w:szCs w:val="21"/>
          <w:highlight w:val="none"/>
          <w:lang w:eastAsia="zh-CN"/>
        </w:rPr>
        <w:t>、</w:t>
      </w:r>
      <w:r>
        <w:rPr>
          <w:rFonts w:hint="eastAsia" w:hAnsi="宋体" w:cs="宋体"/>
          <w:color w:val="auto"/>
          <w:sz w:val="21"/>
          <w:szCs w:val="21"/>
          <w:highlight w:val="none"/>
        </w:rPr>
        <w:t>展示中心贴膜及其他附属工程</w:t>
      </w:r>
      <w:r>
        <w:rPr>
          <w:rFonts w:hint="eastAsia" w:hAnsi="宋体" w:cs="宋体"/>
          <w:color w:val="auto"/>
          <w:sz w:val="21"/>
          <w:szCs w:val="21"/>
          <w:highlight w:val="none"/>
          <w:lang w:eastAsia="zh-CN"/>
        </w:rPr>
        <w:t>、</w:t>
      </w:r>
      <w:r>
        <w:rPr>
          <w:rFonts w:hint="eastAsia" w:hAnsi="宋体" w:cs="宋体"/>
          <w:color w:val="auto"/>
          <w:sz w:val="21"/>
          <w:szCs w:val="21"/>
          <w:highlight w:val="none"/>
        </w:rPr>
        <w:t>外阳台天花改造</w:t>
      </w:r>
      <w:r>
        <w:rPr>
          <w:rFonts w:hint="eastAsia" w:hAnsi="宋体" w:cs="宋体"/>
          <w:color w:val="auto"/>
          <w:sz w:val="21"/>
          <w:szCs w:val="21"/>
          <w:highlight w:val="none"/>
          <w:lang w:eastAsia="zh-CN"/>
        </w:rPr>
        <w:t>、</w:t>
      </w:r>
      <w:r>
        <w:rPr>
          <w:rFonts w:hint="eastAsia" w:hAnsi="宋体" w:cs="宋体"/>
          <w:color w:val="auto"/>
          <w:sz w:val="21"/>
          <w:szCs w:val="21"/>
          <w:highlight w:val="none"/>
        </w:rPr>
        <w:t>湖区驳岸景观提升</w:t>
      </w:r>
      <w:r>
        <w:rPr>
          <w:rFonts w:hint="eastAsia" w:hAnsi="宋体" w:cs="宋体"/>
          <w:color w:val="auto"/>
          <w:sz w:val="21"/>
          <w:szCs w:val="21"/>
          <w:highlight w:val="none"/>
          <w:lang w:eastAsia="zh-CN"/>
        </w:rPr>
        <w:t>、</w:t>
      </w:r>
      <w:r>
        <w:rPr>
          <w:rFonts w:hint="eastAsia" w:hAnsi="宋体" w:cs="宋体"/>
          <w:color w:val="auto"/>
          <w:sz w:val="21"/>
          <w:szCs w:val="21"/>
          <w:highlight w:val="none"/>
        </w:rPr>
        <w:t>环湖跑道改造</w:t>
      </w:r>
      <w:r>
        <w:rPr>
          <w:rFonts w:hint="eastAsia" w:hAnsi="宋体" w:cs="宋体"/>
          <w:color w:val="auto"/>
          <w:sz w:val="21"/>
          <w:szCs w:val="21"/>
          <w:highlight w:val="none"/>
          <w:lang w:eastAsia="zh-CN"/>
        </w:rPr>
        <w:t>、</w:t>
      </w:r>
      <w:r>
        <w:rPr>
          <w:rFonts w:hint="eastAsia" w:hAnsi="宋体" w:cs="宋体"/>
          <w:color w:val="auto"/>
          <w:sz w:val="21"/>
          <w:szCs w:val="21"/>
          <w:highlight w:val="none"/>
        </w:rPr>
        <w:t>H区篮球场改造</w:t>
      </w:r>
      <w:r>
        <w:rPr>
          <w:rFonts w:hint="eastAsia" w:hAnsi="宋体" w:cs="宋体"/>
          <w:color w:val="auto"/>
          <w:sz w:val="21"/>
          <w:szCs w:val="21"/>
          <w:highlight w:val="none"/>
          <w:lang w:eastAsia="zh-CN"/>
        </w:rPr>
        <w:t>、</w:t>
      </w:r>
      <w:r>
        <w:rPr>
          <w:rFonts w:hint="eastAsia" w:hAnsi="宋体" w:cs="宋体"/>
          <w:color w:val="auto"/>
          <w:sz w:val="21"/>
          <w:szCs w:val="21"/>
          <w:highlight w:val="none"/>
        </w:rPr>
        <w:t>H3车行道改造</w:t>
      </w:r>
      <w:r>
        <w:rPr>
          <w:rFonts w:hint="eastAsia" w:hAnsi="宋体" w:cs="宋体"/>
          <w:color w:val="auto"/>
          <w:sz w:val="21"/>
          <w:szCs w:val="21"/>
          <w:highlight w:val="none"/>
          <w:lang w:eastAsia="zh-CN"/>
        </w:rPr>
        <w:t>、</w:t>
      </w:r>
      <w:r>
        <w:rPr>
          <w:rFonts w:hint="eastAsia" w:hAnsi="宋体" w:cs="宋体"/>
          <w:color w:val="auto"/>
          <w:sz w:val="21"/>
          <w:szCs w:val="21"/>
          <w:highlight w:val="none"/>
        </w:rPr>
        <w:t>园区路面划线</w:t>
      </w:r>
      <w:r>
        <w:rPr>
          <w:rFonts w:hint="eastAsia" w:hAnsi="宋体" w:cs="宋体"/>
          <w:color w:val="auto"/>
          <w:sz w:val="21"/>
          <w:szCs w:val="21"/>
          <w:highlight w:val="none"/>
          <w:lang w:eastAsia="zh-CN"/>
        </w:rPr>
        <w:t>、</w:t>
      </w:r>
      <w:r>
        <w:rPr>
          <w:rFonts w:hint="eastAsia" w:hAnsi="宋体" w:cs="宋体"/>
          <w:color w:val="auto"/>
          <w:sz w:val="21"/>
          <w:szCs w:val="21"/>
          <w:highlight w:val="none"/>
        </w:rPr>
        <w:t>G1区外新建人行道</w:t>
      </w:r>
      <w:r>
        <w:rPr>
          <w:rFonts w:hint="eastAsia" w:hAnsi="宋体" w:cs="宋体"/>
          <w:color w:val="auto"/>
          <w:sz w:val="21"/>
          <w:szCs w:val="21"/>
          <w:highlight w:val="none"/>
          <w:lang w:eastAsia="zh-CN"/>
        </w:rPr>
        <w:t>、</w:t>
      </w:r>
      <w:r>
        <w:rPr>
          <w:rFonts w:hint="eastAsia" w:hAnsi="宋体" w:cs="宋体"/>
          <w:color w:val="auto"/>
          <w:sz w:val="21"/>
          <w:szCs w:val="21"/>
          <w:highlight w:val="none"/>
        </w:rPr>
        <w:t>B1栋人行道整改修补</w:t>
      </w:r>
      <w:r>
        <w:rPr>
          <w:rFonts w:hint="eastAsia" w:hAnsi="宋体" w:cs="宋体"/>
          <w:color w:val="auto"/>
          <w:sz w:val="21"/>
          <w:szCs w:val="21"/>
          <w:highlight w:val="none"/>
          <w:lang w:eastAsia="zh-CN"/>
        </w:rPr>
        <w:t>、</w:t>
      </w:r>
      <w:r>
        <w:rPr>
          <w:rFonts w:hint="eastAsia" w:hAnsi="宋体" w:cs="宋体"/>
          <w:color w:val="auto"/>
          <w:sz w:val="21"/>
          <w:szCs w:val="21"/>
          <w:highlight w:val="none"/>
        </w:rPr>
        <w:t>A区人行道铺装</w:t>
      </w:r>
      <w:r>
        <w:rPr>
          <w:rFonts w:hint="eastAsia" w:hAnsi="宋体" w:cs="宋体"/>
          <w:color w:val="auto"/>
          <w:sz w:val="21"/>
          <w:szCs w:val="21"/>
          <w:highlight w:val="none"/>
          <w:lang w:eastAsia="zh-CN"/>
        </w:rPr>
        <w:t>、</w:t>
      </w:r>
      <w:r>
        <w:rPr>
          <w:rFonts w:hint="eastAsia" w:hAnsi="宋体" w:cs="宋体"/>
          <w:color w:val="auto"/>
          <w:sz w:val="21"/>
          <w:szCs w:val="21"/>
          <w:highlight w:val="none"/>
        </w:rPr>
        <w:t>H1无障碍坡道</w:t>
      </w:r>
      <w:r>
        <w:rPr>
          <w:rFonts w:hint="eastAsia" w:hAnsi="宋体" w:cs="宋体"/>
          <w:color w:val="auto"/>
          <w:sz w:val="21"/>
          <w:szCs w:val="21"/>
          <w:highlight w:val="none"/>
          <w:lang w:val="en-US" w:eastAsia="zh-CN"/>
        </w:rPr>
        <w:t>及其他不可预见项目</w:t>
      </w:r>
      <w:r>
        <w:rPr>
          <w:rFonts w:hint="eastAsia" w:hAnsi="宋体" w:cs="宋体"/>
          <w:color w:val="auto"/>
          <w:sz w:val="21"/>
          <w:szCs w:val="21"/>
          <w:highlight w:val="none"/>
        </w:rPr>
        <w:t xml:space="preserve">。                 </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beforeAutospacing="0" w:afterAutospacing="0"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w:t>
      </w:r>
      <w:r>
        <w:rPr>
          <w:rFonts w:hint="eastAsia" w:hAnsi="宋体" w:cs="宋体"/>
          <w:color w:val="auto"/>
          <w:sz w:val="21"/>
          <w:szCs w:val="21"/>
          <w:highlight w:val="none"/>
          <w:lang w:val="en-US" w:eastAsia="zh-CN"/>
        </w:rPr>
        <w:t>验</w:t>
      </w:r>
      <w:r>
        <w:rPr>
          <w:rFonts w:hint="eastAsia" w:hAnsi="宋体" w:cs="宋体"/>
          <w:color w:val="auto"/>
          <w:sz w:val="21"/>
          <w:szCs w:val="21"/>
          <w:highlight w:val="none"/>
        </w:rPr>
        <w:t>收；</w:t>
      </w:r>
    </w:p>
    <w:p>
      <w:pPr>
        <w:spacing w:beforeAutospacing="0" w:afterAutospacing="0"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       日历天，以甲方通知的实际开工报告日期为准；</w:t>
      </w:r>
    </w:p>
    <w:p>
      <w:pPr>
        <w:tabs>
          <w:tab w:val="left" w:pos="3405"/>
        </w:tabs>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beforeAutospacing="0" w:afterAutospacing="0"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       元（大写：            ）。其中，单列部分的安全防护、文明施工费为               元（大写：              ）。</w:t>
      </w:r>
    </w:p>
    <w:p>
      <w:pPr>
        <w:tabs>
          <w:tab w:val="left" w:pos="3405"/>
        </w:tabs>
        <w:spacing w:beforeAutospacing="0" w:afterAutospacing="0"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w:t>
      </w:r>
      <w:r>
        <w:rPr>
          <w:rFonts w:hint="eastAsia" w:hAnsi="宋体" w:cs="宋体"/>
          <w:color w:val="auto"/>
          <w:sz w:val="21"/>
          <w:szCs w:val="21"/>
          <w:highlight w:val="none"/>
          <w:lang w:eastAsia="zh-CN"/>
        </w:rPr>
        <w:t>竣工资料及</w:t>
      </w:r>
      <w:r>
        <w:rPr>
          <w:rFonts w:hint="eastAsia" w:hAnsi="宋体" w:cs="宋体"/>
          <w:color w:val="auto"/>
          <w:sz w:val="21"/>
          <w:szCs w:val="21"/>
          <w:highlight w:val="none"/>
        </w:rPr>
        <w:t>竣工图一式两份交付给甲方。</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beforeAutospacing="0" w:afterAutospacing="0" w:line="600" w:lineRule="exact"/>
        <w:ind w:firstLine="420" w:firstLineChars="200"/>
        <w:rPr>
          <w:rFonts w:hint="eastAsia" w:hAnsi="宋体" w:cs="宋体"/>
          <w:color w:val="auto"/>
          <w:sz w:val="21"/>
          <w:szCs w:val="21"/>
          <w:highlight w:val="none"/>
        </w:rPr>
      </w:pPr>
      <w:bookmarkStart w:id="137"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r>
        <w:rPr>
          <w:rFonts w:hint="eastAsia" w:hAnsi="宋体" w:cs="宋体"/>
          <w:color w:val="auto"/>
          <w:sz w:val="21"/>
          <w:szCs w:val="21"/>
          <w:highlight w:val="none"/>
        </w:rPr>
        <w:t>；</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r>
        <w:rPr>
          <w:rFonts w:hint="eastAsia" w:hAnsi="宋体" w:cs="宋体"/>
          <w:color w:val="auto"/>
          <w:sz w:val="21"/>
          <w:szCs w:val="21"/>
          <w:highlight w:val="none"/>
        </w:rPr>
        <w:t>。</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工程质量保修金为结算总价3%，满两年质保期后无质量问题的申请支付余款</w:t>
      </w:r>
      <w:r>
        <w:rPr>
          <w:rFonts w:hint="eastAsia" w:hAnsi="宋体" w:cs="宋体"/>
          <w:color w:val="auto"/>
          <w:sz w:val="21"/>
          <w:szCs w:val="21"/>
          <w:highlight w:val="none"/>
        </w:rPr>
        <w:t>。</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必须提供增值税专用发票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税率9%）</w:t>
      </w:r>
      <w:r>
        <w:rPr>
          <w:rFonts w:hint="eastAsia" w:ascii="宋体" w:hAnsi="宋体" w:eastAsia="宋体" w:cs="宋体"/>
          <w:color w:val="auto"/>
          <w:sz w:val="21"/>
          <w:szCs w:val="21"/>
          <w:highlight w:val="none"/>
        </w:rPr>
        <w:t>。若有税率调整，按最新政策税率执行，结算时按不含税价*新税率调整</w:t>
      </w:r>
      <w:r>
        <w:rPr>
          <w:rFonts w:hint="eastAsia" w:hAnsi="宋体" w:cs="宋体"/>
          <w:color w:val="auto"/>
          <w:sz w:val="21"/>
          <w:szCs w:val="21"/>
          <w:highlight w:val="none"/>
        </w:rPr>
        <w:t>。</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beforeAutospacing="0" w:afterAutospacing="0"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beforeAutospacing="0" w:afterAutospacing="0"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beforeAutospacing="0" w:afterAutospacing="0"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beforeAutospacing="0" w:afterAutospacing="0"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beforeAutospacing="0" w:afterAutospacing="0"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beforeAutospacing="0" w:afterAutospacing="0"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beforeAutospacing="0" w:afterAutospacing="0"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beforeAutospacing="0" w:afterAutospacing="0"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beforeAutospacing="0" w:afterAutospacing="0"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beforeAutospacing="0" w:afterAutospacing="0"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beforeAutospacing="0" w:afterAutospacing="0"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beforeAutospacing="0" w:afterAutospacing="0"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bookmarkEnd w:id="137"/>
    <w:p>
      <w:pPr>
        <w:spacing w:beforeAutospacing="0" w:afterAutospacing="0"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beforeAutospacing="0" w:afterAutospacing="0"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beforeAutospacing="0" w:afterAutospacing="0" w:line="600" w:lineRule="exact"/>
        <w:ind w:firstLine="420" w:firstLineChars="200"/>
        <w:rPr>
          <w:rFonts w:hint="eastAsia" w:hAnsi="宋体" w:cs="宋体"/>
          <w:color w:val="auto"/>
          <w:sz w:val="21"/>
          <w:szCs w:val="21"/>
          <w:highlight w:val="none"/>
        </w:rPr>
      </w:pPr>
      <w:bookmarkStart w:id="138" w:name="_Toc220294650"/>
      <w:bookmarkEnd w:id="138"/>
      <w:bookmarkStart w:id="139" w:name="_Toc229302590"/>
      <w:bookmarkEnd w:id="139"/>
      <w:bookmarkStart w:id="140" w:name="_Toc174273244"/>
      <w:bookmarkEnd w:id="140"/>
      <w:bookmarkStart w:id="141" w:name="_Toc220295274"/>
      <w:bookmarkEnd w:id="141"/>
      <w:bookmarkStart w:id="142" w:name="_Toc220294962"/>
      <w:bookmarkEnd w:id="142"/>
      <w:bookmarkStart w:id="143" w:name="_Toc257904141"/>
      <w:bookmarkEnd w:id="143"/>
      <w:bookmarkStart w:id="144" w:name="_Toc299746078"/>
      <w:bookmarkEnd w:id="144"/>
      <w:bookmarkStart w:id="145" w:name="_Toc220293671"/>
      <w:bookmarkEnd w:id="145"/>
      <w:bookmarkStart w:id="146" w:name="_Toc299660633"/>
      <w:bookmarkEnd w:id="146"/>
      <w:bookmarkStart w:id="147" w:name="_Toc300242200"/>
      <w:bookmarkEnd w:id="147"/>
      <w:bookmarkStart w:id="148" w:name="_Toc229302932"/>
      <w:bookmarkEnd w:id="148"/>
      <w:bookmarkStart w:id="149" w:name="_Toc240269407"/>
      <w:bookmarkEnd w:id="149"/>
      <w:bookmarkStart w:id="150" w:name="_Toc220293325"/>
      <w:bookmarkEnd w:id="150"/>
      <w:bookmarkStart w:id="151" w:name="_Toc299659890"/>
      <w:bookmarkEnd w:id="151"/>
      <w:bookmarkStart w:id="152" w:name="_Toc246408540"/>
      <w:bookmarkEnd w:id="152"/>
      <w:bookmarkStart w:id="153" w:name="_Toc299660262"/>
      <w:bookmarkEnd w:id="153"/>
      <w:bookmarkStart w:id="154" w:name="_Toc243986907"/>
      <w:bookmarkEnd w:id="154"/>
      <w:bookmarkStart w:id="155" w:name="_Toc174269088"/>
      <w:bookmarkEnd w:id="155"/>
      <w:bookmarkStart w:id="156" w:name="_Toc220292602"/>
      <w:bookmarkEnd w:id="156"/>
      <w:bookmarkStart w:id="157" w:name="_Toc220292915"/>
      <w:bookmarkEnd w:id="157"/>
      <w:r>
        <w:rPr>
          <w:rFonts w:hint="eastAsia" w:hAnsi="宋体" w:cs="宋体"/>
          <w:color w:val="auto"/>
          <w:sz w:val="21"/>
          <w:szCs w:val="21"/>
          <w:highlight w:val="none"/>
        </w:rPr>
        <w:t>2.乙方已恰当履行了约定的义务。</w:t>
      </w:r>
    </w:p>
    <w:p>
      <w:pPr>
        <w:snapToGrid w:val="0"/>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beforeAutospacing="0" w:afterAutospacing="0"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beforeAutospacing="0" w:afterAutospacing="0"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        负责对工程建设进行全面管理，解决施工过程中出现的需要甲方协调的相关问题，并参与工程的初验、各种验收和签证工作。如变更现场代表应及时通知乙方。</w:t>
      </w:r>
    </w:p>
    <w:p>
      <w:pPr>
        <w:spacing w:beforeAutospacing="0" w:afterAutospacing="0"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 24 个工作小时内参加隐蔽工程验收。</w:t>
      </w:r>
    </w:p>
    <w:p>
      <w:pPr>
        <w:spacing w:beforeAutospacing="0" w:afterAutospacing="0"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 10 个工作日内组织竣工验收。</w:t>
      </w:r>
    </w:p>
    <w:p>
      <w:pPr>
        <w:spacing w:beforeAutospacing="0" w:afterAutospacing="0"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 10个工作日内进行审批或确认，办理有关的签证。</w:t>
      </w:r>
    </w:p>
    <w:p>
      <w:pPr>
        <w:spacing w:beforeAutospacing="0" w:afterAutospacing="0"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beforeAutospacing="0" w:afterAutospacing="0"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           负责施工期间的全面管理，如变更现场代表应事先经甲方书面同意。</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beforeAutospacing="0" w:afterAutospacing="0"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beforeAutospacing="0" w:afterAutospacing="0"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beforeAutospacing="0" w:afterAutospacing="0"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beforeAutospacing="0" w:afterAutospacing="0"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beforeAutospacing="0" w:afterAutospacing="0" w:line="600" w:lineRule="exact"/>
        <w:ind w:firstLine="420" w:firstLineChars="200"/>
        <w:rPr>
          <w:rFonts w:hint="eastAsia" w:hAnsi="宋体" w:cs="宋体"/>
          <w:b w:val="0"/>
          <w:bCs w:val="0"/>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beforeAutospacing="0" w:afterAutospacing="0"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本合同正本一式肆份，甲方执贰份，乙方执贰份，均具同等法律效力，双方签字盖章后生效。</w:t>
      </w:r>
    </w:p>
    <w:p>
      <w:pPr>
        <w:shd w:val="clear" w:color="auto" w:fill="FFFFFF"/>
        <w:spacing w:beforeAutospacing="0" w:afterAutospacing="0" w:line="600" w:lineRule="exact"/>
        <w:ind w:firstLine="422" w:firstLineChars="200"/>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十三 其它约定事项</w:t>
      </w:r>
    </w:p>
    <w:p>
      <w:pPr>
        <w:shd w:val="clear" w:color="auto" w:fill="FFFFFF"/>
        <w:spacing w:beforeAutospacing="0" w:afterAutospacing="0" w:line="600" w:lineRule="exact"/>
        <w:ind w:firstLine="420" w:firstLineChars="200"/>
        <w:rPr>
          <w:rFonts w:hint="eastAsia" w:cs="宋体"/>
          <w:color w:val="auto"/>
          <w:sz w:val="21"/>
          <w:szCs w:val="21"/>
          <w:highlight w:val="none"/>
          <w:shd w:val="clear" w:color="auto" w:fill="FFFFFF"/>
        </w:rPr>
      </w:pPr>
      <w:r>
        <w:rPr>
          <w:rFonts w:hint="eastAsia" w:hAnsi="宋体"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beforeAutospacing="0" w:afterAutospacing="0" w:line="600" w:lineRule="exact"/>
        <w:ind w:firstLine="420" w:firstLineChars="200"/>
        <w:rPr>
          <w:rFonts w:hint="eastAsia" w:hAnsi="宋体" w:cs="宋体"/>
          <w:color w:val="auto"/>
          <w:sz w:val="21"/>
          <w:szCs w:val="21"/>
          <w:highlight w:val="none"/>
          <w:shd w:val="clear" w:color="auto" w:fill="FFFFFF"/>
        </w:rPr>
      </w:pPr>
    </w:p>
    <w:p>
      <w:pPr>
        <w:spacing w:beforeAutospacing="0" w:afterAutospacing="0"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15"/>
        <w:rPr>
          <w:rFonts w:hint="eastAsia" w:hAnsi="宋体" w:cs="宋体"/>
          <w:color w:val="auto"/>
          <w:sz w:val="21"/>
          <w:szCs w:val="21"/>
          <w:highlight w:val="none"/>
          <w:shd w:val="clear" w:color="auto" w:fill="FFFFFF"/>
        </w:rPr>
      </w:pPr>
    </w:p>
    <w:p>
      <w:pPr>
        <w:pStyle w:val="15"/>
        <w:rPr>
          <w:rFonts w:hint="eastAsia" w:hAnsi="宋体" w:cs="宋体"/>
          <w:color w:val="auto"/>
          <w:sz w:val="21"/>
          <w:szCs w:val="21"/>
          <w:highlight w:val="none"/>
          <w:shd w:val="clear" w:color="auto" w:fill="FFFFFF"/>
        </w:rPr>
      </w:pPr>
    </w:p>
    <w:p>
      <w:pPr>
        <w:spacing w:beforeAutospacing="0" w:afterAutospacing="0" w:line="600" w:lineRule="exact"/>
        <w:ind w:firstLine="640" w:firstLineChars="200"/>
        <w:rPr>
          <w:rFonts w:eastAsia="仿宋_GB2312"/>
          <w:color w:val="auto"/>
          <w:sz w:val="32"/>
          <w:szCs w:val="32"/>
          <w:highlight w:val="none"/>
          <w:shd w:val="clear" w:color="auto" w:fill="FFFFFF"/>
        </w:rPr>
      </w:pPr>
    </w:p>
    <w:p>
      <w:pPr>
        <w:spacing w:beforeAutospacing="0" w:afterAutospacing="0" w:line="600" w:lineRule="exact"/>
        <w:ind w:firstLine="422" w:firstLineChars="200"/>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beforeAutospacing="0" w:afterAutospacing="0"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beforeAutospacing="0" w:afterAutospacing="0"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beforeAutospacing="0" w:afterAutospacing="0"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帐号：        </w:t>
      </w:r>
    </w:p>
    <w:p>
      <w:pPr>
        <w:snapToGrid w:val="0"/>
        <w:spacing w:beforeAutospacing="0" w:afterAutospacing="0"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beforeAutospacing="0" w:afterAutospacing="0"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beforeAutospacing="0" w:afterAutospacing="0" w:line="480" w:lineRule="exact"/>
        <w:rPr>
          <w:rFonts w:ascii="方正小标宋简体" w:hAnsi="黑体" w:eastAsia="方正小标宋简体"/>
          <w:b/>
          <w:color w:val="auto"/>
          <w:sz w:val="44"/>
          <w:szCs w:val="44"/>
          <w:highlight w:val="none"/>
        </w:rPr>
      </w:pPr>
    </w:p>
    <w:p>
      <w:pPr>
        <w:spacing w:beforeAutospacing="0" w:afterAutospacing="0" w:line="480" w:lineRule="exact"/>
        <w:rPr>
          <w:rFonts w:ascii="方正小标宋简体" w:hAnsi="黑体" w:eastAsia="方正小标宋简体"/>
          <w:b/>
          <w:color w:val="auto"/>
          <w:sz w:val="44"/>
          <w:szCs w:val="44"/>
          <w:highlight w:val="none"/>
        </w:rPr>
      </w:pPr>
    </w:p>
    <w:p>
      <w:pPr>
        <w:spacing w:beforeAutospacing="0" w:afterAutospacing="0"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63" w:beforeLines="50" w:beforeAutospacing="0" w:after="163" w:afterLines="50" w:afterAutospacing="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63" w:beforeLines="50" w:beforeAutospacing="0" w:after="163" w:afterLines="50" w:afterAutospacing="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autoSpaceDE/>
        <w:autoSpaceDN/>
        <w:adjustRightInd/>
        <w:spacing w:before="163" w:beforeLines="50" w:beforeAutospacing="0" w:after="163" w:afterLines="50" w:afterAutospacing="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年      月      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beforeAutospacing="0" w:after="163" w:afterLines="50" w:afterAutospacing="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beforeAutospacing="0" w:after="163" w:afterLines="50" w:afterAutospacing="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pPr>
        <w:widowControl/>
        <w:autoSpaceDE/>
        <w:autoSpaceDN/>
        <w:adjustRightInd/>
        <w:spacing w:before="163" w:beforeLines="50" w:beforeAutospacing="0" w:after="163" w:afterLines="50" w:afterAutospacing="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autoSpaceDE/>
        <w:autoSpaceDN/>
        <w:adjustRightInd/>
        <w:spacing w:before="163" w:beforeLines="50" w:beforeAutospacing="0" w:after="163" w:afterLines="50" w:afterAutospacing="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autoSpaceDE/>
        <w:autoSpaceDN/>
        <w:adjustRightInd/>
        <w:spacing w:before="163" w:beforeLines="50" w:beforeAutospacing="0" w:after="163" w:afterLines="50" w:afterAutospacing="0" w:line="360" w:lineRule="auto"/>
        <w:ind w:firstLine="420" w:firstLineChars="200"/>
        <w:contextualSpacing/>
        <w:rPr>
          <w:rFonts w:hAnsi="宋体"/>
          <w:color w:val="auto"/>
          <w:sz w:val="21"/>
          <w:szCs w:val="21"/>
          <w:highlight w:val="none"/>
        </w:rPr>
      </w:pPr>
    </w:p>
    <w:p>
      <w:pPr>
        <w:autoSpaceDE/>
        <w:autoSpaceDN/>
        <w:adjustRightInd/>
        <w:spacing w:before="163" w:beforeLines="50" w:beforeAutospacing="0" w:after="163" w:afterLines="50" w:afterAutospacing="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autoSpaceDE/>
        <w:autoSpaceDN/>
        <w:adjustRightInd/>
        <w:spacing w:before="163" w:beforeLines="50" w:beforeAutospacing="0" w:after="163" w:afterLines="50" w:afterAutospacing="0" w:line="360" w:lineRule="auto"/>
        <w:ind w:firstLine="420" w:firstLineChars="200"/>
        <w:contextualSpacing/>
        <w:rPr>
          <w:rFonts w:hAnsi="宋体"/>
          <w:color w:val="auto"/>
          <w:sz w:val="21"/>
          <w:szCs w:val="21"/>
          <w:highlight w:val="none"/>
        </w:rPr>
      </w:pPr>
    </w:p>
    <w:p>
      <w:pPr>
        <w:autoSpaceDE/>
        <w:autoSpaceDN/>
        <w:adjustRightInd/>
        <w:spacing w:before="163" w:beforeLines="50" w:beforeAutospacing="0" w:after="163" w:afterLines="50" w:afterAutospacing="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autoSpaceDE/>
        <w:autoSpaceDN/>
        <w:adjustRightInd/>
        <w:spacing w:before="163" w:beforeLines="50" w:beforeAutospacing="0" w:after="163" w:afterLines="50" w:afterAutospacing="0" w:line="360" w:lineRule="auto"/>
        <w:ind w:firstLine="420" w:firstLineChars="200"/>
        <w:contextualSpacing/>
        <w:rPr>
          <w:rFonts w:hAnsi="宋体"/>
          <w:color w:val="auto"/>
          <w:sz w:val="21"/>
          <w:szCs w:val="21"/>
          <w:highlight w:val="none"/>
        </w:rPr>
      </w:pPr>
    </w:p>
    <w:p>
      <w:pPr>
        <w:autoSpaceDE/>
        <w:autoSpaceDN/>
        <w:adjustRightInd/>
        <w:spacing w:before="163" w:beforeLines="50" w:beforeAutospacing="0" w:after="163" w:afterLines="50" w:afterAutospacing="0" w:line="360" w:lineRule="auto"/>
        <w:ind w:firstLine="420" w:firstLineChars="200"/>
        <w:contextualSpacing/>
        <w:rPr>
          <w:color w:val="auto"/>
          <w:sz w:val="21"/>
          <w:szCs w:val="21"/>
          <w:highlight w:val="none"/>
        </w:rPr>
      </w:pPr>
      <w:bookmarkStart w:id="158" w:name="设计变更通知单"/>
      <w:bookmarkEnd w:id="158"/>
      <w:bookmarkStart w:id="159" w:name="现场签证通知单"/>
      <w:bookmarkEnd w:id="159"/>
      <w:r>
        <w:rPr>
          <w:rFonts w:hint="eastAsia" w:hAnsi="宋体"/>
          <w:color w:val="auto"/>
          <w:sz w:val="21"/>
          <w:szCs w:val="21"/>
          <w:highlight w:val="none"/>
        </w:rPr>
        <w:t>签约日期：   年   月   日</w:t>
      </w:r>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keepNext/>
        <w:keepLines/>
        <w:pageBreakBefore/>
        <w:spacing w:beforeAutospacing="0" w:afterAutospacing="0" w:line="360" w:lineRule="auto"/>
        <w:jc w:val="center"/>
        <w:rPr>
          <w:rFonts w:hAnsi="宋体"/>
          <w:b/>
          <w:bCs/>
          <w:color w:val="auto"/>
          <w:kern w:val="44"/>
          <w:sz w:val="28"/>
          <w:szCs w:val="28"/>
          <w:highlight w:val="none"/>
          <w:lang w:val="zh-CN"/>
        </w:rPr>
      </w:pPr>
      <w:bookmarkStart w:id="160" w:name="_Toc8470"/>
      <w:bookmarkEnd w:id="160"/>
      <w:bookmarkStart w:id="161" w:name="_Toc396137242"/>
      <w:bookmarkEnd w:id="161"/>
      <w:r>
        <w:rPr>
          <w:rFonts w:hint="eastAsia" w:hAnsi="宋体"/>
          <w:b/>
          <w:bCs/>
          <w:color w:val="auto"/>
          <w:kern w:val="44"/>
          <w:sz w:val="28"/>
          <w:szCs w:val="28"/>
          <w:highlight w:val="none"/>
          <w:lang w:val="zh-CN"/>
        </w:rPr>
        <w:t>第六篇磋商响应文件格式</w:t>
      </w:r>
    </w:p>
    <w:p>
      <w:pPr>
        <w:ind w:firstLine="1800" w:firstLineChars="750"/>
        <w:rPr>
          <w:rFonts w:hAnsi="宋体"/>
          <w:color w:val="auto"/>
          <w:highlight w:val="none"/>
        </w:rPr>
      </w:pPr>
    </w:p>
    <w:p>
      <w:pPr>
        <w:pStyle w:val="6"/>
        <w:jc w:val="center"/>
        <w:rPr>
          <w:color w:val="auto"/>
          <w:sz w:val="28"/>
          <w:szCs w:val="28"/>
          <w:highlight w:val="none"/>
        </w:rPr>
      </w:pPr>
      <w:bookmarkStart w:id="162" w:name="_Toc19311"/>
      <w:bookmarkEnd w:id="162"/>
      <w:bookmarkStart w:id="163" w:name="_Toc9566"/>
      <w:bookmarkEnd w:id="163"/>
      <w:r>
        <w:rPr>
          <w:rFonts w:hint="eastAsia"/>
          <w:color w:val="auto"/>
          <w:sz w:val="28"/>
          <w:szCs w:val="28"/>
          <w:highlight w:val="none"/>
        </w:rPr>
        <w:t>第一部分 价格文件（单独编制装订成册）</w:t>
      </w:r>
    </w:p>
    <w:p>
      <w:pPr>
        <w:ind w:firstLine="1800" w:firstLineChars="750"/>
        <w:rPr>
          <w:rFonts w:hAnsi="宋体"/>
          <w:color w:val="auto"/>
          <w:highlight w:val="none"/>
        </w:rPr>
      </w:pPr>
    </w:p>
    <w:p>
      <w:pPr>
        <w:pStyle w:val="6"/>
        <w:numPr>
          <w:ilvl w:val="0"/>
          <w:numId w:val="16"/>
        </w:numPr>
        <w:jc w:val="center"/>
        <w:rPr>
          <w:color w:val="auto"/>
          <w:sz w:val="28"/>
          <w:szCs w:val="28"/>
          <w:highlight w:val="none"/>
        </w:rPr>
      </w:pPr>
      <w:bookmarkStart w:id="164" w:name="_Toc20730"/>
      <w:bookmarkEnd w:id="164"/>
      <w:bookmarkStart w:id="165" w:name="_Toc7897888"/>
      <w:bookmarkEnd w:id="165"/>
      <w:bookmarkStart w:id="166" w:name="_Toc12373"/>
      <w:bookmarkEnd w:id="166"/>
      <w:bookmarkStart w:id="167" w:name="_Toc458262639"/>
      <w:bookmarkStart w:id="168" w:name="_Toc486671573"/>
      <w:bookmarkStart w:id="169" w:name="_Toc476976201"/>
      <w:bookmarkStart w:id="170" w:name="_Toc454701406"/>
      <w:bookmarkStart w:id="171" w:name="_Toc467236769"/>
      <w:r>
        <w:rPr>
          <w:rFonts w:hint="eastAsia"/>
          <w:color w:val="auto"/>
          <w:sz w:val="28"/>
          <w:szCs w:val="28"/>
          <w:highlight w:val="none"/>
        </w:rPr>
        <w:t>报价一览表</w:t>
      </w:r>
    </w:p>
    <w:p>
      <w:pPr>
        <w:pStyle w:val="15"/>
        <w:ind w:firstLine="400"/>
        <w:rPr>
          <w:rFonts w:hAnsi="宋体"/>
          <w:color w:val="auto"/>
          <w:highlight w:val="none"/>
        </w:rPr>
      </w:pPr>
    </w:p>
    <w:p>
      <w:pPr>
        <w:overflowPunct w:val="0"/>
        <w:spacing w:beforeAutospacing="0" w:afterAutospacing="0"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beforeAutospacing="0" w:afterAutospacing="0"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beforeAutospacing="0" w:afterAutospacing="0"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beforeAutospacing="0" w:afterAutospacing="0"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beforeAutospacing="0" w:afterAutospacing="0"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TTWY-23047</w:t>
            </w:r>
          </w:p>
        </w:tc>
        <w:tc>
          <w:tcPr>
            <w:tcW w:w="2457" w:type="dxa"/>
            <w:vMerge w:val="restart"/>
            <w:vAlign w:val="center"/>
          </w:tcPr>
          <w:p>
            <w:pPr>
              <w:overflowPunct w:val="0"/>
              <w:spacing w:beforeAutospacing="0" w:afterAutospacing="0"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w:t>
            </w:r>
            <w:r>
              <w:rPr>
                <w:rFonts w:hint="eastAsia" w:hAnsi="宋体"/>
                <w:color w:val="auto"/>
                <w:sz w:val="21"/>
                <w:szCs w:val="21"/>
                <w:highlight w:val="none"/>
                <w:lang w:eastAsia="zh-CN"/>
              </w:rPr>
              <w:br w:type="textWrapping"/>
            </w:r>
            <w:r>
              <w:rPr>
                <w:rFonts w:hint="eastAsia" w:hAnsi="宋体"/>
                <w:color w:val="auto"/>
                <w:sz w:val="21"/>
                <w:szCs w:val="21"/>
                <w:highlight w:val="none"/>
                <w:lang w:eastAsia="zh-CN"/>
              </w:rPr>
              <w:t>零星修缮及局部景观提升项目</w:t>
            </w:r>
          </w:p>
        </w:tc>
        <w:tc>
          <w:tcPr>
            <w:tcW w:w="3883" w:type="dxa"/>
            <w:vAlign w:val="center"/>
          </w:tcPr>
          <w:p>
            <w:pPr>
              <w:overflowPunct w:val="0"/>
              <w:spacing w:beforeAutospacing="0" w:afterAutospacing="0"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beforeAutospacing="0" w:afterAutospacing="0"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beforeAutospacing="0" w:afterAutospacing="0" w:line="460" w:lineRule="exact"/>
              <w:jc w:val="center"/>
              <w:rPr>
                <w:rFonts w:hAnsi="宋体"/>
                <w:color w:val="auto"/>
                <w:sz w:val="21"/>
                <w:szCs w:val="21"/>
                <w:highlight w:val="none"/>
              </w:rPr>
            </w:pPr>
          </w:p>
        </w:tc>
        <w:tc>
          <w:tcPr>
            <w:tcW w:w="2457" w:type="dxa"/>
            <w:vMerge w:val="continue"/>
            <w:vAlign w:val="center"/>
          </w:tcPr>
          <w:p>
            <w:pPr>
              <w:overflowPunct w:val="0"/>
              <w:spacing w:beforeAutospacing="0" w:afterAutospacing="0" w:line="460" w:lineRule="exact"/>
              <w:jc w:val="center"/>
              <w:rPr>
                <w:rFonts w:hAnsi="宋体"/>
                <w:color w:val="auto"/>
                <w:sz w:val="21"/>
                <w:szCs w:val="21"/>
                <w:highlight w:val="none"/>
              </w:rPr>
            </w:pPr>
          </w:p>
        </w:tc>
        <w:tc>
          <w:tcPr>
            <w:tcW w:w="3883" w:type="dxa"/>
            <w:vAlign w:val="center"/>
          </w:tcPr>
          <w:p>
            <w:pPr>
              <w:overflowPunct w:val="0"/>
              <w:spacing w:beforeAutospacing="0" w:afterAutospacing="0"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beforeAutospacing="0" w:afterAutospacing="0" w:line="460" w:lineRule="exact"/>
              <w:jc w:val="center"/>
              <w:rPr>
                <w:rFonts w:hAnsi="宋体"/>
                <w:color w:val="auto"/>
                <w:sz w:val="21"/>
                <w:szCs w:val="21"/>
                <w:highlight w:val="none"/>
              </w:rPr>
            </w:pPr>
          </w:p>
        </w:tc>
      </w:tr>
    </w:tbl>
    <w:p>
      <w:pPr>
        <w:overflowPunct w:val="0"/>
        <w:spacing w:beforeAutospacing="0" w:afterAutospacing="0" w:line="460" w:lineRule="exact"/>
        <w:rPr>
          <w:rFonts w:hAnsi="宋体"/>
          <w:color w:val="auto"/>
          <w:sz w:val="21"/>
          <w:szCs w:val="21"/>
          <w:highlight w:val="none"/>
        </w:rPr>
      </w:pP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beforeAutospacing="0" w:afterAutospacing="0" w:line="460" w:lineRule="exact"/>
        <w:ind w:firstLine="1583" w:firstLineChars="754"/>
        <w:rPr>
          <w:rFonts w:ascii="宋体" w:eastAsia="宋体"/>
          <w:color w:val="auto"/>
          <w:sz w:val="21"/>
          <w:szCs w:val="21"/>
          <w:highlight w:val="none"/>
        </w:rPr>
      </w:pPr>
    </w:p>
    <w:bookmarkEnd w:id="167"/>
    <w:bookmarkEnd w:id="168"/>
    <w:bookmarkEnd w:id="169"/>
    <w:bookmarkEnd w:id="170"/>
    <w:bookmarkEnd w:id="171"/>
    <w:p>
      <w:pPr>
        <w:pStyle w:val="15"/>
        <w:spacing w:beforeAutospacing="0" w:afterAutospacing="0"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p>
    <w:p>
      <w:pPr>
        <w:rPr>
          <w:color w:val="auto"/>
          <w:highlight w:val="none"/>
        </w:rPr>
      </w:pPr>
      <w:r>
        <w:rPr>
          <w:color w:val="auto"/>
          <w:highlight w:val="none"/>
        </w:rPr>
        <w:br w:type="page"/>
      </w:r>
    </w:p>
    <w:p>
      <w:pPr>
        <w:pStyle w:val="6"/>
        <w:numPr>
          <w:ilvl w:val="0"/>
          <w:numId w:val="16"/>
        </w:numPr>
        <w:jc w:val="center"/>
        <w:rPr>
          <w:color w:val="auto"/>
          <w:sz w:val="28"/>
          <w:szCs w:val="28"/>
          <w:highlight w:val="none"/>
        </w:rPr>
      </w:pPr>
      <w:r>
        <w:rPr>
          <w:rFonts w:hint="eastAsia"/>
          <w:color w:val="auto"/>
          <w:sz w:val="28"/>
          <w:szCs w:val="28"/>
          <w:highlight w:val="none"/>
        </w:rPr>
        <w:t>分项报价表</w:t>
      </w:r>
    </w:p>
    <w:p>
      <w:pPr>
        <w:numPr>
          <w:ilvl w:val="-1"/>
          <w:numId w:val="0"/>
        </w:numPr>
        <w:overflowPunct w:val="0"/>
        <w:spacing w:beforeAutospacing="0" w:afterAutospacing="0" w:line="460" w:lineRule="exact"/>
        <w:ind w:left="240" w:firstLine="0"/>
        <w:rPr>
          <w:rFonts w:hint="eastAsia" w:hAnsi="宋体"/>
          <w:b/>
          <w:bCs/>
          <w:color w:val="auto"/>
          <w:sz w:val="21"/>
          <w:szCs w:val="21"/>
          <w:highlight w:val="none"/>
          <w:lang w:val="en-US" w:eastAsia="zh-CN"/>
        </w:rPr>
      </w:pPr>
      <w:r>
        <w:rPr>
          <w:rFonts w:hint="eastAsia" w:hAnsi="宋体"/>
          <w:b/>
          <w:bCs/>
          <w:color w:val="auto"/>
          <w:sz w:val="21"/>
          <w:szCs w:val="21"/>
          <w:highlight w:val="none"/>
          <w:lang w:val="en-US" w:eastAsia="zh-CN"/>
        </w:rPr>
        <w:t>（一）单项工程汇总表</w:t>
      </w:r>
    </w:p>
    <w:tbl>
      <w:tblPr>
        <w:tblStyle w:val="5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8"/>
        <w:gridCol w:w="5239"/>
        <w:gridCol w:w="2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65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单项工程名称</w:t>
            </w:r>
          </w:p>
        </w:tc>
        <w:tc>
          <w:tcPr>
            <w:tcW w:w="14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零星修缮项目</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AB塔设备间地面改造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AB塔裙楼过道及卫生间增加风机盘管</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H1栋首层修缮</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H1更换玻璃雨棚</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展示中心贴膜及其他附属工程</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外阳台天花改造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环境提升</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湖区驳岸景观提升</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环湖跑道改造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H区篮球场改造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H3车行道改造</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园区路面划线</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G1区外新建人行道</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B1栋人行道整改修补</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A区人行道铺装</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H1无障碍坡道</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3</w:t>
            </w:r>
          </w:p>
        </w:tc>
        <w:tc>
          <w:tcPr>
            <w:tcW w:w="2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暂列金额</w:t>
            </w:r>
          </w:p>
        </w:tc>
        <w:tc>
          <w:tcPr>
            <w:tcW w:w="1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highlight w:val="none"/>
                <w:u w:val="none"/>
                <w:lang w:val="en-US" w:eastAsia="zh-CN"/>
              </w:rPr>
            </w:pPr>
            <w:r>
              <w:rPr>
                <w:rFonts w:hint="eastAsia" w:hAnsi="宋体" w:cs="宋体"/>
                <w:i w:val="0"/>
                <w:iCs w:val="0"/>
                <w:color w:val="000000"/>
                <w:sz w:val="20"/>
                <w:szCs w:val="20"/>
                <w:highlight w:val="none"/>
                <w:u w:val="none"/>
                <w:lang w:val="en-US" w:eastAsia="zh-CN"/>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5"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44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bl>
    <w:p>
      <w:pPr>
        <w:numPr>
          <w:ilvl w:val="0"/>
          <w:numId w:val="0"/>
        </w:numPr>
        <w:spacing w:line="360" w:lineRule="auto"/>
        <w:outlineLvl w:val="9"/>
        <w:rPr>
          <w:rFonts w:hint="eastAsia" w:hAnsi="宋体"/>
          <w:color w:val="auto"/>
          <w:sz w:val="21"/>
          <w:szCs w:val="21"/>
          <w:highlight w:val="none"/>
          <w:lang w:val="en-US" w:eastAsia="zh-CN"/>
        </w:rPr>
      </w:pP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numPr>
          <w:ilvl w:val="0"/>
          <w:numId w:val="0"/>
        </w:numPr>
        <w:spacing w:line="360" w:lineRule="auto"/>
        <w:outlineLvl w:val="9"/>
        <w:rPr>
          <w:rFonts w:hint="eastAsia" w:hAnsi="宋体"/>
          <w:color w:val="auto"/>
          <w:sz w:val="21"/>
          <w:szCs w:val="21"/>
          <w:highlight w:val="none"/>
          <w:lang w:val="en-US" w:eastAsia="zh-CN"/>
        </w:rPr>
      </w:pPr>
    </w:p>
    <w:p>
      <w:pPr>
        <w:numPr>
          <w:ilvl w:val="0"/>
          <w:numId w:val="0"/>
        </w:numPr>
        <w:spacing w:line="360" w:lineRule="auto"/>
        <w:outlineLvl w:val="9"/>
        <w:rPr>
          <w:rFonts w:hint="default" w:hAnsi="宋体"/>
          <w:color w:val="auto"/>
          <w:sz w:val="21"/>
          <w:szCs w:val="21"/>
          <w:highlight w:val="none"/>
          <w:lang w:val="en-US" w:eastAsia="zh-CN"/>
        </w:rPr>
      </w:pPr>
    </w:p>
    <w:p>
      <w:pPr>
        <w:overflowPunct/>
        <w:spacing w:beforeAutospacing="0" w:afterAutospacing="0" w:line="240" w:lineRule="auto"/>
        <w:rPr>
          <w:rFonts w:hint="eastAsia" w:hAnsi="宋体"/>
          <w:color w:val="auto"/>
          <w:sz w:val="21"/>
          <w:szCs w:val="21"/>
          <w:highlight w:val="none"/>
          <w:lang w:val="en-US" w:eastAsia="zh-CN"/>
        </w:rPr>
      </w:pPr>
      <w:r>
        <w:rPr>
          <w:rFonts w:hint="eastAsia" w:hAnsi="宋体"/>
          <w:color w:val="auto"/>
          <w:sz w:val="21"/>
          <w:szCs w:val="21"/>
          <w:highlight w:val="none"/>
          <w:lang w:val="en-US" w:eastAsia="zh-CN"/>
        </w:rPr>
        <w:br w:type="page"/>
      </w:r>
    </w:p>
    <w:p>
      <w:pPr>
        <w:overflowPunct w:val="0"/>
        <w:spacing w:beforeAutospacing="0" w:afterAutospacing="0" w:line="460" w:lineRule="exact"/>
        <w:rPr>
          <w:rFonts w:hint="default" w:hAnsi="宋体" w:eastAsia="宋体"/>
          <w:b/>
          <w:bCs/>
          <w:color w:val="auto"/>
          <w:sz w:val="21"/>
          <w:szCs w:val="21"/>
          <w:highlight w:val="none"/>
          <w:lang w:val="en-US" w:eastAsia="zh-CN"/>
        </w:rPr>
      </w:pPr>
      <w:r>
        <w:rPr>
          <w:rFonts w:hint="eastAsia" w:hAnsi="宋体"/>
          <w:b/>
          <w:bCs/>
          <w:color w:val="auto"/>
          <w:sz w:val="21"/>
          <w:szCs w:val="21"/>
          <w:highlight w:val="none"/>
          <w:lang w:val="en-US" w:eastAsia="zh-CN"/>
        </w:rPr>
        <w:t>（二）单项报价明细清单(请根据附件清单详细填报分项报价，不得少报漏报）</w:t>
      </w:r>
    </w:p>
    <w:p>
      <w:pPr>
        <w:rPr>
          <w:color w:val="auto"/>
          <w:highlight w:val="none"/>
        </w:rPr>
      </w:pPr>
    </w:p>
    <w:p>
      <w:pPr>
        <w:rPr>
          <w:color w:val="auto"/>
          <w:highlight w:val="none"/>
        </w:rPr>
      </w:pPr>
    </w:p>
    <w:p>
      <w:pPr>
        <w:pStyle w:val="6"/>
        <w:pageBreakBefore/>
        <w:spacing w:beforeAutospacing="0" w:afterAutospacing="0" w:line="360" w:lineRule="auto"/>
        <w:jc w:val="center"/>
        <w:rPr>
          <w:bCs/>
          <w:color w:val="auto"/>
          <w:sz w:val="28"/>
          <w:szCs w:val="28"/>
          <w:highlight w:val="none"/>
        </w:rPr>
      </w:pPr>
      <w:bookmarkStart w:id="172" w:name="_Hlt10519799"/>
      <w:bookmarkEnd w:id="172"/>
      <w:bookmarkStart w:id="173" w:name="_Hlt10456397"/>
      <w:bookmarkEnd w:id="173"/>
      <w:bookmarkStart w:id="174" w:name="_Toc18450"/>
      <w:bookmarkEnd w:id="174"/>
      <w:bookmarkStart w:id="175" w:name="_Toc12158"/>
      <w:bookmarkEnd w:id="175"/>
      <w:bookmarkStart w:id="176" w:name="_Toc27849"/>
      <w:bookmarkStart w:id="177" w:name="_Toc476976200"/>
      <w:bookmarkStart w:id="178" w:name="_Toc454701405"/>
      <w:bookmarkStart w:id="179" w:name="_Toc7897890"/>
      <w:bookmarkStart w:id="180" w:name="_Toc458262638"/>
      <w:bookmarkStart w:id="181" w:name="_Toc486671572"/>
      <w:bookmarkStart w:id="182" w:name="_Toc467236768"/>
      <w:bookmarkStart w:id="183" w:name="_Toc110953866"/>
      <w:r>
        <w:rPr>
          <w:rFonts w:hint="eastAsia"/>
          <w:bCs/>
          <w:color w:val="auto"/>
          <w:sz w:val="28"/>
          <w:szCs w:val="28"/>
          <w:highlight w:val="none"/>
        </w:rPr>
        <w:t>第二部分  商务文件</w:t>
      </w:r>
    </w:p>
    <w:p>
      <w:pPr>
        <w:rPr>
          <w:color w:val="auto"/>
          <w:highlight w:val="none"/>
        </w:rPr>
      </w:pPr>
    </w:p>
    <w:bookmarkEnd w:id="176"/>
    <w:bookmarkEnd w:id="177"/>
    <w:bookmarkEnd w:id="178"/>
    <w:bookmarkEnd w:id="179"/>
    <w:bookmarkEnd w:id="180"/>
    <w:bookmarkEnd w:id="181"/>
    <w:bookmarkEnd w:id="182"/>
    <w:p>
      <w:pPr>
        <w:pStyle w:val="6"/>
        <w:numPr>
          <w:ilvl w:val="0"/>
          <w:numId w:val="17"/>
        </w:numPr>
        <w:jc w:val="center"/>
        <w:rPr>
          <w:b w:val="0"/>
          <w:color w:val="auto"/>
          <w:sz w:val="28"/>
          <w:szCs w:val="28"/>
          <w:highlight w:val="none"/>
        </w:rPr>
      </w:pPr>
      <w:bookmarkStart w:id="184" w:name="_Toc18728"/>
      <w:bookmarkEnd w:id="184"/>
      <w:r>
        <w:rPr>
          <w:rFonts w:hint="eastAsia"/>
          <w:color w:val="auto"/>
          <w:sz w:val="28"/>
          <w:szCs w:val="28"/>
          <w:highlight w:val="none"/>
        </w:rPr>
        <w:t>响应书</w:t>
      </w:r>
    </w:p>
    <w:p>
      <w:pPr>
        <w:pStyle w:val="31"/>
        <w:autoSpaceDE/>
        <w:autoSpaceDN/>
        <w:adjustRightInd/>
        <w:spacing w:beforeAutospacing="0" w:afterAutospacing="0" w:line="480" w:lineRule="exact"/>
        <w:ind w:left="6000"/>
        <w:rPr>
          <w:rFonts w:hAnsi="宋体"/>
          <w:color w:val="auto"/>
          <w:sz w:val="24"/>
          <w:highlight w:val="none"/>
        </w:rPr>
      </w:pPr>
    </w:p>
    <w:p>
      <w:pPr>
        <w:pStyle w:val="31"/>
        <w:autoSpaceDE/>
        <w:autoSpaceDN/>
        <w:adjustRightInd/>
        <w:spacing w:beforeAutospacing="0" w:afterAutospacing="0" w:line="480" w:lineRule="exact"/>
        <w:ind w:left="0" w:leftChars="0"/>
        <w:rPr>
          <w:rFonts w:hAnsi="宋体"/>
          <w:color w:val="auto"/>
          <w:highlight w:val="none"/>
        </w:rPr>
      </w:pPr>
      <w:r>
        <w:rPr>
          <w:rFonts w:hint="eastAsia" w:hAnsi="宋体"/>
          <w:color w:val="auto"/>
          <w:highlight w:val="none"/>
        </w:rPr>
        <w:t>致：广东泰通伟业工程咨询有限公司</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1.签字代表（姓名、职务）经正式授权并代表供应商（供应商名称、地址）提交响应文件正本份和副本份。</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beforeAutospacing="0" w:afterAutospacing="0" w:line="480" w:lineRule="exact"/>
        <w:ind w:firstLine="420" w:firstLineChars="200"/>
        <w:rPr>
          <w:rFonts w:hAnsi="宋体"/>
          <w:color w:val="auto"/>
          <w:sz w:val="21"/>
          <w:szCs w:val="21"/>
          <w:highlight w:val="none"/>
        </w:rPr>
      </w:pP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 xml:space="preserve">供应商名称：            （盖公章）                   </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供应商代表姓名、职务（印刷体）：</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6"/>
        <w:numPr>
          <w:ilvl w:val="0"/>
          <w:numId w:val="17"/>
        </w:numPr>
        <w:jc w:val="center"/>
        <w:rPr>
          <w:bCs/>
          <w:color w:val="auto"/>
          <w:sz w:val="28"/>
          <w:szCs w:val="28"/>
          <w:highlight w:val="none"/>
        </w:rPr>
      </w:pPr>
      <w:bookmarkStart w:id="185" w:name="_Toc7897891"/>
      <w:bookmarkEnd w:id="185"/>
      <w:bookmarkStart w:id="186" w:name="_Toc10808"/>
      <w:bookmarkEnd w:id="186"/>
      <w:bookmarkStart w:id="187" w:name="_Toc31943"/>
      <w:bookmarkEnd w:id="187"/>
      <w:r>
        <w:rPr>
          <w:color w:val="auto"/>
          <w:sz w:val="22"/>
          <w:szCs w:val="22"/>
          <w:highlight w:val="none"/>
        </w:rPr>
        <w:br w:type="page"/>
      </w:r>
      <w:r>
        <w:rPr>
          <w:rFonts w:hint="eastAsia"/>
          <w:bCs/>
          <w:color w:val="auto"/>
          <w:sz w:val="28"/>
          <w:szCs w:val="28"/>
          <w:highlight w:val="none"/>
        </w:rPr>
        <w:t>法定代表人证明书</w:t>
      </w:r>
    </w:p>
    <w:p>
      <w:pPr>
        <w:jc w:val="center"/>
        <w:rPr>
          <w:rFonts w:hAnsi="宋体"/>
          <w:color w:val="auto"/>
          <w:sz w:val="28"/>
          <w:szCs w:val="28"/>
          <w:highlight w:val="none"/>
        </w:rPr>
      </w:pPr>
    </w:p>
    <w:p>
      <w:pPr>
        <w:rPr>
          <w:rFonts w:hAnsi="宋体"/>
          <w:color w:val="auto"/>
          <w:sz w:val="28"/>
          <w:szCs w:val="28"/>
          <w:highlight w:val="none"/>
        </w:rPr>
      </w:pPr>
    </w:p>
    <w:p>
      <w:pPr>
        <w:spacing w:beforeAutospacing="0" w:afterAutospacing="0"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beforeAutospacing="0" w:afterAutospacing="0" w:line="420" w:lineRule="atLeast"/>
        <w:ind w:firstLine="433"/>
        <w:rPr>
          <w:rFonts w:ascii="宋体" w:eastAsia="宋体"/>
          <w:color w:val="auto"/>
          <w:sz w:val="21"/>
          <w:szCs w:val="21"/>
          <w:highlight w:val="none"/>
        </w:rPr>
      </w:pPr>
    </w:p>
    <w:p>
      <w:pPr>
        <w:pStyle w:val="75"/>
        <w:spacing w:beforeAutospacing="0" w:afterAutospacing="0"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beforeAutospacing="0" w:afterAutospacing="0"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beforeAutospacing="0" w:afterAutospacing="0"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beforeAutospacing="0" w:afterAutospacing="0"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beforeAutospacing="0" w:afterAutospacing="0"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beforeAutospacing="0" w:afterAutospacing="0"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beforeAutospacing="0" w:afterAutospacing="0"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beforeAutospacing="0" w:afterAutospacing="0"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beforeAutospacing="0" w:afterAutospacing="0" w:line="500" w:lineRule="atLeast"/>
        <w:ind w:firstLine="3517" w:firstLineChars="1675"/>
        <w:rPr>
          <w:rFonts w:ascii="宋体" w:eastAsia="宋体"/>
          <w:color w:val="auto"/>
          <w:sz w:val="21"/>
          <w:szCs w:val="21"/>
          <w:highlight w:val="none"/>
        </w:rPr>
      </w:pPr>
    </w:p>
    <w:p>
      <w:pPr>
        <w:pStyle w:val="75"/>
        <w:spacing w:beforeAutospacing="0" w:afterAutospacing="0"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beforeAutospacing="0" w:afterAutospacing="0"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beforeAutospacing="0" w:afterAutospacing="0"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beforeAutospacing="0" w:afterAutospacing="0"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beforeAutospacing="0" w:afterAutospacing="0" w:line="460" w:lineRule="exact"/>
        <w:ind w:firstLine="433"/>
        <w:rPr>
          <w:rFonts w:ascii="宋体" w:eastAsia="宋体"/>
          <w:color w:val="auto"/>
          <w:sz w:val="21"/>
          <w:szCs w:val="21"/>
          <w:highlight w:val="none"/>
        </w:rPr>
      </w:pPr>
    </w:p>
    <w:p>
      <w:pPr>
        <w:spacing w:beforeAutospacing="0" w:afterAutospacing="0" w:line="420" w:lineRule="atLeast"/>
        <w:ind w:firstLine="422" w:firstLineChars="200"/>
        <w:rPr>
          <w:rFonts w:hAnsi="宋体"/>
          <w:b/>
          <w:color w:val="auto"/>
          <w:sz w:val="21"/>
          <w:szCs w:val="21"/>
          <w:highlight w:val="none"/>
        </w:rPr>
      </w:pPr>
    </w:p>
    <w:p>
      <w:pPr>
        <w:spacing w:beforeAutospacing="0" w:afterAutospacing="0" w:line="420" w:lineRule="atLeast"/>
        <w:ind w:firstLine="422" w:firstLineChars="200"/>
        <w:rPr>
          <w:b/>
          <w:color w:val="auto"/>
          <w:sz w:val="21"/>
          <w:szCs w:val="21"/>
          <w:highlight w:val="none"/>
        </w:rPr>
      </w:pPr>
      <w:r>
        <w:rPr>
          <w:rFonts w:hint="eastAsia" w:hAnsi="宋体"/>
          <w:b/>
          <w:color w:val="auto"/>
          <w:sz w:val="21"/>
          <w:szCs w:val="21"/>
          <w:highlight w:val="none"/>
        </w:rPr>
        <w:t>须附：法定代表人身份证复印件</w:t>
      </w: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beforeAutospacing="0" w:afterAutospacing="0"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beforeAutospacing="0" w:afterAutospacing="0"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6"/>
        <w:numPr>
          <w:ilvl w:val="0"/>
          <w:numId w:val="17"/>
        </w:numPr>
        <w:jc w:val="center"/>
        <w:rPr>
          <w:bCs/>
          <w:color w:val="auto"/>
          <w:sz w:val="28"/>
          <w:szCs w:val="28"/>
          <w:highlight w:val="none"/>
        </w:rPr>
      </w:pPr>
      <w:bookmarkStart w:id="188" w:name="_Toc19634"/>
      <w:bookmarkEnd w:id="188"/>
      <w:bookmarkStart w:id="189" w:name="_Toc7897892"/>
      <w:bookmarkEnd w:id="189"/>
      <w:bookmarkStart w:id="190" w:name="_Toc28882"/>
      <w:bookmarkEnd w:id="190"/>
      <w:r>
        <w:rPr>
          <w:rFonts w:hint="eastAsia"/>
          <w:bCs/>
          <w:color w:val="auto"/>
          <w:sz w:val="28"/>
          <w:szCs w:val="28"/>
          <w:highlight w:val="none"/>
        </w:rPr>
        <w:br w:type="page"/>
      </w:r>
      <w:r>
        <w:rPr>
          <w:rFonts w:hint="eastAsia"/>
          <w:bCs/>
          <w:color w:val="auto"/>
          <w:sz w:val="28"/>
          <w:szCs w:val="28"/>
          <w:highlight w:val="none"/>
        </w:rPr>
        <w:t>授权委托书（加法人证明书）</w:t>
      </w:r>
    </w:p>
    <w:p>
      <w:pPr>
        <w:pStyle w:val="15"/>
        <w:ind w:firstLine="400"/>
        <w:rPr>
          <w:color w:val="auto"/>
          <w:highlight w:val="none"/>
        </w:rPr>
      </w:pPr>
    </w:p>
    <w:p>
      <w:pPr>
        <w:spacing w:beforeAutospacing="0" w:afterAutospacing="0" w:line="420" w:lineRule="exact"/>
        <w:rPr>
          <w:rFonts w:hAnsi="宋体"/>
          <w:color w:val="auto"/>
          <w:sz w:val="22"/>
          <w:szCs w:val="22"/>
          <w:highlight w:val="none"/>
        </w:rPr>
      </w:pPr>
    </w:p>
    <w:p>
      <w:pPr>
        <w:spacing w:beforeAutospacing="0" w:afterAutospacing="0"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beforeAutospacing="0" w:afterAutospacing="0"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  （姓名） 系     （供应商名称）        的法定代表人，现委托 （姓名） 为我方合法代理人。代理人根据授权，以我方名义签署、澄清、说明、补正、递交、撤回、修改        （项目名称）        [采购编号：　　　　　　　]磋商响应文件、签订合同和处理有关事宜，其法律后果由我方承担。</w:t>
      </w:r>
    </w:p>
    <w:p>
      <w:pPr>
        <w:pStyle w:val="75"/>
        <w:spacing w:beforeAutospacing="0" w:afterAutospacing="0"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　    年　 月　 日签字生效，特此证明。</w:t>
      </w:r>
    </w:p>
    <w:p>
      <w:pPr>
        <w:pStyle w:val="75"/>
        <w:spacing w:beforeAutospacing="0" w:afterAutospacing="0"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beforeAutospacing="0" w:afterAutospacing="0" w:line="420" w:lineRule="exact"/>
        <w:ind w:firstLine="450" w:firstLineChars="0"/>
        <w:rPr>
          <w:rFonts w:ascii="宋体" w:eastAsia="宋体"/>
          <w:color w:val="auto"/>
          <w:sz w:val="21"/>
          <w:szCs w:val="21"/>
          <w:highlight w:val="none"/>
        </w:rPr>
      </w:pPr>
    </w:p>
    <w:p>
      <w:pPr>
        <w:pStyle w:val="75"/>
        <w:spacing w:beforeAutospacing="0" w:afterAutospacing="0" w:line="420" w:lineRule="exact"/>
        <w:ind w:firstLine="428" w:firstLineChars="204"/>
        <w:rPr>
          <w:rFonts w:ascii="宋体" w:eastAsia="宋体"/>
          <w:color w:val="auto"/>
          <w:sz w:val="21"/>
          <w:szCs w:val="21"/>
          <w:highlight w:val="none"/>
        </w:rPr>
      </w:pPr>
    </w:p>
    <w:p>
      <w:pPr>
        <w:pStyle w:val="75"/>
        <w:spacing w:beforeAutospacing="0" w:afterAutospacing="0"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beforeAutospacing="0" w:afterAutospacing="0"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beforeAutospacing="0" w:afterAutospacing="0"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beforeAutospacing="0" w:afterAutospacing="0" w:line="420" w:lineRule="exact"/>
        <w:ind w:firstLine="3517" w:firstLineChars="1675"/>
        <w:rPr>
          <w:rFonts w:ascii="宋体" w:eastAsia="宋体"/>
          <w:color w:val="auto"/>
          <w:sz w:val="21"/>
          <w:szCs w:val="21"/>
          <w:highlight w:val="none"/>
        </w:rPr>
      </w:pPr>
    </w:p>
    <w:p>
      <w:pPr>
        <w:pStyle w:val="75"/>
        <w:spacing w:beforeAutospacing="0" w:afterAutospacing="0"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beforeAutospacing="0" w:afterAutospacing="0"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beforeAutospacing="0" w:afterAutospacing="0"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beforeAutospacing="0" w:afterAutospacing="0" w:line="420" w:lineRule="atLeast"/>
        <w:ind w:firstLine="422" w:firstLineChars="200"/>
        <w:rPr>
          <w:rFonts w:hAnsi="宋体"/>
          <w:b/>
          <w:color w:val="auto"/>
          <w:sz w:val="21"/>
          <w:szCs w:val="21"/>
          <w:highlight w:val="none"/>
        </w:rPr>
      </w:pPr>
    </w:p>
    <w:p>
      <w:pPr>
        <w:spacing w:beforeAutospacing="0" w:afterAutospacing="0" w:line="420" w:lineRule="atLeast"/>
        <w:ind w:firstLine="422" w:firstLineChars="200"/>
        <w:rPr>
          <w:rFonts w:hAnsi="宋体"/>
          <w:b/>
          <w:color w:val="auto"/>
          <w:sz w:val="21"/>
          <w:szCs w:val="21"/>
          <w:highlight w:val="none"/>
        </w:rPr>
      </w:pPr>
    </w:p>
    <w:p>
      <w:pPr>
        <w:spacing w:beforeAutospacing="0" w:afterAutospacing="0"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pacing w:beforeAutospacing="0" w:afterAutospacing="0"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beforeAutospacing="0" w:afterAutospacing="0"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beforeAutospacing="0" w:afterAutospacing="0"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5"/>
        <w:ind w:firstLine="482"/>
        <w:rPr>
          <w:b/>
          <w:color w:val="auto"/>
          <w:sz w:val="24"/>
          <w:szCs w:val="24"/>
          <w:highlight w:val="none"/>
        </w:rPr>
      </w:pPr>
    </w:p>
    <w:p>
      <w:pPr>
        <w:tabs>
          <w:tab w:val="left" w:pos="7740"/>
        </w:tabs>
        <w:spacing w:beforeAutospacing="0" w:afterAutospacing="0" w:line="360" w:lineRule="auto"/>
        <w:rPr>
          <w:rFonts w:hAnsi="宋体"/>
          <w:color w:val="auto"/>
          <w:sz w:val="21"/>
          <w:szCs w:val="21"/>
          <w:highlight w:val="none"/>
        </w:rPr>
      </w:pPr>
      <w:bookmarkStart w:id="191" w:name="_Toc7897893"/>
      <w:bookmarkStart w:id="192" w:name="_Toc4592"/>
    </w:p>
    <w:p>
      <w:pPr>
        <w:pStyle w:val="15"/>
        <w:ind w:firstLine="0" w:firstLineChars="0"/>
        <w:rPr>
          <w:color w:val="auto"/>
          <w:highlight w:val="none"/>
        </w:rPr>
      </w:pPr>
    </w:p>
    <w:p>
      <w:pPr>
        <w:pStyle w:val="15"/>
        <w:ind w:firstLine="0" w:firstLineChars="0"/>
        <w:rPr>
          <w:color w:val="auto"/>
          <w:highlight w:val="none"/>
        </w:rPr>
      </w:pPr>
    </w:p>
    <w:p>
      <w:pPr>
        <w:pStyle w:val="15"/>
        <w:ind w:firstLine="0" w:firstLineChars="0"/>
        <w:rPr>
          <w:color w:val="auto"/>
          <w:highlight w:val="none"/>
        </w:rPr>
      </w:pPr>
    </w:p>
    <w:bookmarkEnd w:id="191"/>
    <w:bookmarkEnd w:id="192"/>
    <w:p>
      <w:pPr>
        <w:pStyle w:val="6"/>
        <w:numPr>
          <w:ilvl w:val="0"/>
          <w:numId w:val="17"/>
        </w:numPr>
        <w:jc w:val="center"/>
        <w:rPr>
          <w:color w:val="auto"/>
          <w:sz w:val="28"/>
          <w:szCs w:val="28"/>
          <w:highlight w:val="none"/>
        </w:rPr>
      </w:pPr>
      <w:bookmarkStart w:id="193" w:name="_Toc17363"/>
      <w:bookmarkEnd w:id="193"/>
      <w:r>
        <w:rPr>
          <w:rFonts w:hint="eastAsia"/>
          <w:color w:val="auto"/>
          <w:sz w:val="28"/>
          <w:szCs w:val="28"/>
          <w:highlight w:val="none"/>
        </w:rPr>
        <w:t>供应商基本情况说明</w:t>
      </w:r>
    </w:p>
    <w:p>
      <w:pPr>
        <w:spacing w:beforeAutospacing="0" w:afterAutospacing="0" w:line="360" w:lineRule="auto"/>
        <w:rPr>
          <w:rFonts w:hAnsi="宋体"/>
          <w:color w:val="auto"/>
          <w:sz w:val="22"/>
          <w:szCs w:val="22"/>
          <w:highlight w:val="none"/>
        </w:rPr>
      </w:pP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beforeAutospacing="0" w:afterAutospacing="0" w:line="360" w:lineRule="auto"/>
        <w:rPr>
          <w:rFonts w:hAnsi="宋体"/>
          <w:color w:val="auto"/>
          <w:sz w:val="21"/>
          <w:szCs w:val="21"/>
          <w:highlight w:val="none"/>
        </w:rPr>
      </w:pPr>
      <w:r>
        <w:rPr>
          <w:rFonts w:hAnsi="宋体"/>
          <w:color w:val="auto"/>
          <w:sz w:val="21"/>
          <w:szCs w:val="21"/>
          <w:highlight w:val="none"/>
        </w:rPr>
        <w:t>1、公司名称： 电话号码：</w:t>
      </w:r>
    </w:p>
    <w:p>
      <w:pPr>
        <w:spacing w:beforeAutospacing="0" w:afterAutospacing="0" w:line="360" w:lineRule="auto"/>
        <w:rPr>
          <w:rFonts w:hAnsi="宋体"/>
          <w:color w:val="auto"/>
          <w:sz w:val="21"/>
          <w:szCs w:val="21"/>
          <w:highlight w:val="none"/>
        </w:rPr>
      </w:pPr>
      <w:r>
        <w:rPr>
          <w:rFonts w:hAnsi="宋体"/>
          <w:color w:val="auto"/>
          <w:sz w:val="21"/>
          <w:szCs w:val="21"/>
          <w:highlight w:val="none"/>
        </w:rPr>
        <w:t>2、地  址： 传  真：</w:t>
      </w:r>
    </w:p>
    <w:p>
      <w:pPr>
        <w:spacing w:beforeAutospacing="0" w:afterAutospacing="0" w:line="360" w:lineRule="auto"/>
        <w:rPr>
          <w:rFonts w:hAnsi="宋体"/>
          <w:color w:val="auto"/>
          <w:sz w:val="21"/>
          <w:szCs w:val="21"/>
          <w:highlight w:val="none"/>
        </w:rPr>
      </w:pPr>
      <w:r>
        <w:rPr>
          <w:rFonts w:hAnsi="宋体"/>
          <w:color w:val="auto"/>
          <w:sz w:val="21"/>
          <w:szCs w:val="21"/>
          <w:highlight w:val="none"/>
        </w:rPr>
        <w:t>3、注册资金： 经济性质：</w:t>
      </w:r>
    </w:p>
    <w:p>
      <w:pPr>
        <w:spacing w:beforeAutospacing="0" w:afterAutospacing="0"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beforeAutospacing="0" w:afterAutospacing="0"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beforeAutospacing="0" w:afterAutospacing="0" w:line="360" w:lineRule="auto"/>
        <w:rPr>
          <w:rFonts w:hAnsi="宋体"/>
          <w:color w:val="auto"/>
          <w:sz w:val="21"/>
          <w:szCs w:val="21"/>
          <w:highlight w:val="none"/>
        </w:rPr>
      </w:pPr>
      <w:r>
        <w:rPr>
          <w:rFonts w:hAnsi="宋体"/>
          <w:color w:val="auto"/>
          <w:sz w:val="21"/>
          <w:szCs w:val="21"/>
          <w:highlight w:val="none"/>
        </w:rPr>
        <w:t>6、公司简介:</w:t>
      </w:r>
    </w:p>
    <w:p>
      <w:pPr>
        <w:spacing w:beforeAutospacing="0" w:afterAutospacing="0" w:line="360" w:lineRule="auto"/>
        <w:rPr>
          <w:rFonts w:hAnsi="宋体"/>
          <w:color w:val="auto"/>
          <w:sz w:val="21"/>
          <w:szCs w:val="21"/>
          <w:highlight w:val="none"/>
        </w:rPr>
      </w:pPr>
      <w:r>
        <w:rPr>
          <w:rFonts w:hAnsi="宋体"/>
          <w:color w:val="auto"/>
          <w:sz w:val="21"/>
          <w:szCs w:val="21"/>
          <w:highlight w:val="none"/>
        </w:rPr>
        <w:t>7、公司财务情况：</w:t>
      </w:r>
    </w:p>
    <w:p>
      <w:pPr>
        <w:spacing w:beforeAutospacing="0" w:afterAutospacing="0"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beforeAutospacing="0" w:afterAutospacing="0" w:line="360" w:lineRule="auto"/>
              <w:jc w:val="center"/>
              <w:rPr>
                <w:rFonts w:hAnsi="宋体"/>
                <w:color w:val="auto"/>
                <w:sz w:val="21"/>
                <w:szCs w:val="21"/>
                <w:highlight w:val="none"/>
              </w:rPr>
            </w:pPr>
          </w:p>
        </w:tc>
        <w:tc>
          <w:tcPr>
            <w:tcW w:w="1809" w:type="dxa"/>
            <w:vAlign w:val="center"/>
          </w:tcPr>
          <w:p>
            <w:pPr>
              <w:spacing w:beforeAutospacing="0" w:afterAutospacing="0" w:line="360" w:lineRule="auto"/>
              <w:jc w:val="center"/>
              <w:rPr>
                <w:rFonts w:hAnsi="宋体"/>
                <w:color w:val="auto"/>
                <w:sz w:val="21"/>
                <w:szCs w:val="21"/>
                <w:highlight w:val="none"/>
              </w:rPr>
            </w:pPr>
          </w:p>
        </w:tc>
        <w:tc>
          <w:tcPr>
            <w:tcW w:w="1809" w:type="dxa"/>
            <w:vAlign w:val="center"/>
          </w:tcPr>
          <w:p>
            <w:pPr>
              <w:spacing w:beforeAutospacing="0" w:afterAutospacing="0" w:line="360" w:lineRule="auto"/>
              <w:jc w:val="center"/>
              <w:rPr>
                <w:rFonts w:hAnsi="宋体"/>
                <w:color w:val="auto"/>
                <w:sz w:val="21"/>
                <w:szCs w:val="21"/>
                <w:highlight w:val="none"/>
              </w:rPr>
            </w:pPr>
          </w:p>
        </w:tc>
        <w:tc>
          <w:tcPr>
            <w:tcW w:w="1839" w:type="dxa"/>
            <w:vAlign w:val="center"/>
          </w:tcPr>
          <w:p>
            <w:pPr>
              <w:spacing w:beforeAutospacing="0" w:afterAutospacing="0" w:line="360" w:lineRule="auto"/>
              <w:jc w:val="center"/>
              <w:rPr>
                <w:rFonts w:hAnsi="宋体"/>
                <w:color w:val="auto"/>
                <w:sz w:val="21"/>
                <w:szCs w:val="21"/>
                <w:highlight w:val="none"/>
              </w:rPr>
            </w:pPr>
          </w:p>
        </w:tc>
        <w:tc>
          <w:tcPr>
            <w:tcW w:w="1851" w:type="dxa"/>
            <w:vAlign w:val="center"/>
          </w:tcPr>
          <w:p>
            <w:pPr>
              <w:spacing w:beforeAutospacing="0" w:afterAutospacing="0"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beforeAutospacing="0" w:afterAutospacing="0" w:line="360" w:lineRule="auto"/>
              <w:jc w:val="center"/>
              <w:rPr>
                <w:rFonts w:hAnsi="宋体"/>
                <w:color w:val="auto"/>
                <w:sz w:val="21"/>
                <w:szCs w:val="21"/>
                <w:highlight w:val="none"/>
              </w:rPr>
            </w:pPr>
          </w:p>
        </w:tc>
        <w:tc>
          <w:tcPr>
            <w:tcW w:w="1809" w:type="dxa"/>
            <w:vAlign w:val="center"/>
          </w:tcPr>
          <w:p>
            <w:pPr>
              <w:spacing w:beforeAutospacing="0" w:afterAutospacing="0" w:line="360" w:lineRule="auto"/>
              <w:jc w:val="center"/>
              <w:rPr>
                <w:rFonts w:hAnsi="宋体"/>
                <w:color w:val="auto"/>
                <w:sz w:val="21"/>
                <w:szCs w:val="21"/>
                <w:highlight w:val="none"/>
              </w:rPr>
            </w:pPr>
          </w:p>
        </w:tc>
        <w:tc>
          <w:tcPr>
            <w:tcW w:w="1809" w:type="dxa"/>
            <w:vAlign w:val="center"/>
          </w:tcPr>
          <w:p>
            <w:pPr>
              <w:spacing w:beforeAutospacing="0" w:afterAutospacing="0" w:line="360" w:lineRule="auto"/>
              <w:jc w:val="center"/>
              <w:rPr>
                <w:rFonts w:hAnsi="宋体"/>
                <w:color w:val="auto"/>
                <w:sz w:val="21"/>
                <w:szCs w:val="21"/>
                <w:highlight w:val="none"/>
              </w:rPr>
            </w:pPr>
          </w:p>
        </w:tc>
        <w:tc>
          <w:tcPr>
            <w:tcW w:w="1839" w:type="dxa"/>
            <w:vAlign w:val="center"/>
          </w:tcPr>
          <w:p>
            <w:pPr>
              <w:spacing w:beforeAutospacing="0" w:afterAutospacing="0" w:line="360" w:lineRule="auto"/>
              <w:jc w:val="center"/>
              <w:rPr>
                <w:rFonts w:hAnsi="宋体"/>
                <w:color w:val="auto"/>
                <w:sz w:val="21"/>
                <w:szCs w:val="21"/>
                <w:highlight w:val="none"/>
              </w:rPr>
            </w:pPr>
          </w:p>
        </w:tc>
        <w:tc>
          <w:tcPr>
            <w:tcW w:w="1851" w:type="dxa"/>
            <w:vAlign w:val="center"/>
          </w:tcPr>
          <w:p>
            <w:pPr>
              <w:spacing w:beforeAutospacing="0" w:afterAutospacing="0"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beforeAutospacing="0" w:afterAutospacing="0" w:line="360" w:lineRule="auto"/>
              <w:jc w:val="center"/>
              <w:rPr>
                <w:rFonts w:hAnsi="宋体"/>
                <w:color w:val="auto"/>
                <w:sz w:val="21"/>
                <w:szCs w:val="21"/>
                <w:highlight w:val="none"/>
              </w:rPr>
            </w:pPr>
          </w:p>
        </w:tc>
        <w:tc>
          <w:tcPr>
            <w:tcW w:w="1809" w:type="dxa"/>
            <w:vAlign w:val="center"/>
          </w:tcPr>
          <w:p>
            <w:pPr>
              <w:spacing w:beforeAutospacing="0" w:afterAutospacing="0" w:line="360" w:lineRule="auto"/>
              <w:jc w:val="center"/>
              <w:rPr>
                <w:rFonts w:hAnsi="宋体"/>
                <w:color w:val="auto"/>
                <w:sz w:val="21"/>
                <w:szCs w:val="21"/>
                <w:highlight w:val="none"/>
              </w:rPr>
            </w:pPr>
          </w:p>
        </w:tc>
        <w:tc>
          <w:tcPr>
            <w:tcW w:w="1809" w:type="dxa"/>
            <w:vAlign w:val="center"/>
          </w:tcPr>
          <w:p>
            <w:pPr>
              <w:spacing w:beforeAutospacing="0" w:afterAutospacing="0" w:line="360" w:lineRule="auto"/>
              <w:jc w:val="center"/>
              <w:rPr>
                <w:rFonts w:hAnsi="宋体"/>
                <w:color w:val="auto"/>
                <w:sz w:val="21"/>
                <w:szCs w:val="21"/>
                <w:highlight w:val="none"/>
              </w:rPr>
            </w:pPr>
          </w:p>
        </w:tc>
        <w:tc>
          <w:tcPr>
            <w:tcW w:w="1839" w:type="dxa"/>
            <w:vAlign w:val="center"/>
          </w:tcPr>
          <w:p>
            <w:pPr>
              <w:spacing w:beforeAutospacing="0" w:afterAutospacing="0" w:line="360" w:lineRule="auto"/>
              <w:jc w:val="center"/>
              <w:rPr>
                <w:rFonts w:hAnsi="宋体"/>
                <w:color w:val="auto"/>
                <w:sz w:val="21"/>
                <w:szCs w:val="21"/>
                <w:highlight w:val="none"/>
              </w:rPr>
            </w:pPr>
          </w:p>
        </w:tc>
        <w:tc>
          <w:tcPr>
            <w:tcW w:w="1851" w:type="dxa"/>
            <w:vAlign w:val="center"/>
          </w:tcPr>
          <w:p>
            <w:pPr>
              <w:spacing w:beforeAutospacing="0" w:afterAutospacing="0" w:line="360" w:lineRule="auto"/>
              <w:jc w:val="center"/>
              <w:rPr>
                <w:rFonts w:hAnsi="宋体"/>
                <w:color w:val="auto"/>
                <w:sz w:val="21"/>
                <w:szCs w:val="21"/>
                <w:highlight w:val="none"/>
              </w:rPr>
            </w:pPr>
          </w:p>
        </w:tc>
      </w:tr>
    </w:tbl>
    <w:p>
      <w:pPr>
        <w:spacing w:beforeAutospacing="0" w:afterAutospacing="0" w:line="360" w:lineRule="auto"/>
        <w:rPr>
          <w:rFonts w:hAnsi="宋体"/>
          <w:b/>
          <w:color w:val="auto"/>
          <w:sz w:val="21"/>
          <w:szCs w:val="21"/>
          <w:highlight w:val="none"/>
        </w:rPr>
      </w:pPr>
    </w:p>
    <w:p>
      <w:pPr>
        <w:tabs>
          <w:tab w:val="left" w:pos="420"/>
          <w:tab w:val="left" w:pos="1485"/>
        </w:tabs>
        <w:spacing w:beforeAutospacing="0" w:afterAutospacing="0"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beforeAutospacing="0" w:afterAutospacing="0" w:line="360" w:lineRule="auto"/>
              <w:jc w:val="center"/>
              <w:rPr>
                <w:rFonts w:hAnsi="宋体"/>
                <w:color w:val="auto"/>
                <w:sz w:val="21"/>
                <w:szCs w:val="21"/>
                <w:highlight w:val="none"/>
              </w:rPr>
            </w:pPr>
          </w:p>
        </w:tc>
        <w:tc>
          <w:tcPr>
            <w:tcW w:w="1800" w:type="dxa"/>
            <w:vAlign w:val="center"/>
          </w:tcPr>
          <w:p>
            <w:pPr>
              <w:spacing w:beforeAutospacing="0" w:afterAutospacing="0" w:line="360" w:lineRule="auto"/>
              <w:jc w:val="center"/>
              <w:rPr>
                <w:rFonts w:hAnsi="宋体"/>
                <w:color w:val="auto"/>
                <w:sz w:val="21"/>
                <w:szCs w:val="21"/>
                <w:highlight w:val="none"/>
              </w:rPr>
            </w:pPr>
          </w:p>
        </w:tc>
        <w:tc>
          <w:tcPr>
            <w:tcW w:w="1800" w:type="dxa"/>
            <w:vAlign w:val="center"/>
          </w:tcPr>
          <w:p>
            <w:pPr>
              <w:spacing w:beforeAutospacing="0" w:afterAutospacing="0" w:line="360" w:lineRule="auto"/>
              <w:jc w:val="center"/>
              <w:rPr>
                <w:rFonts w:hAnsi="宋体"/>
                <w:color w:val="auto"/>
                <w:sz w:val="21"/>
                <w:szCs w:val="21"/>
                <w:highlight w:val="none"/>
              </w:rPr>
            </w:pPr>
          </w:p>
        </w:tc>
        <w:tc>
          <w:tcPr>
            <w:tcW w:w="1830" w:type="dxa"/>
            <w:vAlign w:val="center"/>
          </w:tcPr>
          <w:p>
            <w:pPr>
              <w:spacing w:beforeAutospacing="0" w:afterAutospacing="0" w:line="360" w:lineRule="auto"/>
              <w:jc w:val="center"/>
              <w:rPr>
                <w:rFonts w:hAnsi="宋体"/>
                <w:color w:val="auto"/>
                <w:sz w:val="21"/>
                <w:szCs w:val="21"/>
                <w:highlight w:val="none"/>
              </w:rPr>
            </w:pPr>
          </w:p>
        </w:tc>
        <w:tc>
          <w:tcPr>
            <w:tcW w:w="1842" w:type="dxa"/>
            <w:vAlign w:val="center"/>
          </w:tcPr>
          <w:p>
            <w:pPr>
              <w:spacing w:beforeAutospacing="0" w:afterAutospacing="0"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beforeAutospacing="0" w:afterAutospacing="0" w:line="360" w:lineRule="auto"/>
              <w:jc w:val="center"/>
              <w:rPr>
                <w:rFonts w:hAnsi="宋体"/>
                <w:color w:val="auto"/>
                <w:sz w:val="21"/>
                <w:szCs w:val="21"/>
                <w:highlight w:val="none"/>
              </w:rPr>
            </w:pPr>
          </w:p>
        </w:tc>
        <w:tc>
          <w:tcPr>
            <w:tcW w:w="1800" w:type="dxa"/>
            <w:vAlign w:val="center"/>
          </w:tcPr>
          <w:p>
            <w:pPr>
              <w:spacing w:beforeAutospacing="0" w:afterAutospacing="0" w:line="360" w:lineRule="auto"/>
              <w:jc w:val="center"/>
              <w:rPr>
                <w:rFonts w:hAnsi="宋体"/>
                <w:color w:val="auto"/>
                <w:sz w:val="21"/>
                <w:szCs w:val="21"/>
                <w:highlight w:val="none"/>
              </w:rPr>
            </w:pPr>
          </w:p>
        </w:tc>
        <w:tc>
          <w:tcPr>
            <w:tcW w:w="1800" w:type="dxa"/>
            <w:vAlign w:val="center"/>
          </w:tcPr>
          <w:p>
            <w:pPr>
              <w:spacing w:beforeAutospacing="0" w:afterAutospacing="0" w:line="360" w:lineRule="auto"/>
              <w:jc w:val="center"/>
              <w:rPr>
                <w:rFonts w:hAnsi="宋体"/>
                <w:color w:val="auto"/>
                <w:sz w:val="21"/>
                <w:szCs w:val="21"/>
                <w:highlight w:val="none"/>
              </w:rPr>
            </w:pPr>
          </w:p>
        </w:tc>
        <w:tc>
          <w:tcPr>
            <w:tcW w:w="1830" w:type="dxa"/>
            <w:vAlign w:val="center"/>
          </w:tcPr>
          <w:p>
            <w:pPr>
              <w:spacing w:beforeAutospacing="0" w:afterAutospacing="0" w:line="360" w:lineRule="auto"/>
              <w:jc w:val="center"/>
              <w:rPr>
                <w:rFonts w:hAnsi="宋体"/>
                <w:color w:val="auto"/>
                <w:sz w:val="21"/>
                <w:szCs w:val="21"/>
                <w:highlight w:val="none"/>
              </w:rPr>
            </w:pPr>
          </w:p>
        </w:tc>
        <w:tc>
          <w:tcPr>
            <w:tcW w:w="1842" w:type="dxa"/>
            <w:vAlign w:val="center"/>
          </w:tcPr>
          <w:p>
            <w:pPr>
              <w:spacing w:beforeAutospacing="0" w:afterAutospacing="0" w:line="360" w:lineRule="auto"/>
              <w:jc w:val="center"/>
              <w:rPr>
                <w:rFonts w:hAnsi="宋体"/>
                <w:color w:val="auto"/>
                <w:sz w:val="21"/>
                <w:szCs w:val="21"/>
                <w:highlight w:val="none"/>
              </w:rPr>
            </w:pPr>
          </w:p>
        </w:tc>
      </w:tr>
    </w:tbl>
    <w:p>
      <w:pPr>
        <w:spacing w:beforeAutospacing="0" w:afterAutospacing="0"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beforeAutospacing="0" w:afterAutospacing="0"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183"/>
    <w:p>
      <w:pPr>
        <w:pStyle w:val="6"/>
        <w:numPr>
          <w:ilvl w:val="0"/>
          <w:numId w:val="17"/>
        </w:numPr>
        <w:jc w:val="center"/>
        <w:rPr>
          <w:b w:val="0"/>
          <w:color w:val="auto"/>
          <w:sz w:val="28"/>
          <w:szCs w:val="28"/>
          <w:highlight w:val="none"/>
        </w:rPr>
      </w:pPr>
      <w:bookmarkStart w:id="194" w:name="_Toc27094"/>
      <w:bookmarkEnd w:id="194"/>
      <w:bookmarkStart w:id="195" w:name="_Toc7897894"/>
      <w:bookmarkEnd w:id="195"/>
      <w:bookmarkStart w:id="196" w:name="_Toc17704"/>
      <w:bookmarkEnd w:id="196"/>
      <w:r>
        <w:rPr>
          <w:color w:val="auto"/>
          <w:sz w:val="22"/>
          <w:szCs w:val="22"/>
          <w:highlight w:val="none"/>
        </w:rPr>
        <w:br w:type="page"/>
      </w:r>
      <w:r>
        <w:rPr>
          <w:rFonts w:hint="eastAsia"/>
          <w:bCs/>
          <w:color w:val="auto"/>
          <w:sz w:val="28"/>
          <w:szCs w:val="28"/>
          <w:highlight w:val="none"/>
        </w:rPr>
        <w:t>偏离表</w:t>
      </w:r>
    </w:p>
    <w:p>
      <w:pPr>
        <w:pStyle w:val="15"/>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color w:val="auto"/>
          <w:sz w:val="21"/>
          <w:szCs w:val="21"/>
          <w:highlight w:val="none"/>
        </w:rPr>
      </w:pP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beforeAutospacing="0" w:afterAutospacing="0"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17"/>
        </w:numPr>
        <w:jc w:val="center"/>
        <w:rPr>
          <w:rFonts w:ascii="Calibri" w:hAnsi="Times New Roman"/>
          <w:color w:val="auto"/>
          <w:sz w:val="28"/>
          <w:szCs w:val="28"/>
          <w:highlight w:val="none"/>
        </w:rPr>
      </w:pPr>
      <w:bookmarkStart w:id="197" w:name="_Toc8299"/>
      <w:bookmarkEnd w:id="197"/>
      <w:bookmarkStart w:id="198" w:name="_Toc7897895"/>
      <w:bookmarkStart w:id="199"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beforeAutospacing="0" w:after="120" w:afterAutospacing="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beforeAutospacing="0" w:after="120" w:afterAutospacing="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beforeAutospacing="0" w:after="120" w:afterAutospacing="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beforeAutospacing="0" w:after="120" w:afterAutospacing="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beforeAutospacing="0" w:after="120" w:afterAutospacing="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beforeAutospacing="0" w:after="120" w:afterAutospacing="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beforeAutospacing="0" w:after="120" w:afterAutospacing="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beforeAutospacing="0" w:after="120" w:afterAutospacing="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beforeAutospacing="0" w:afterAutospacing="0" w:line="360" w:lineRule="auto"/>
              <w:jc w:val="center"/>
              <w:rPr>
                <w:rFonts w:hAnsi="宋体"/>
                <w:color w:val="auto"/>
                <w:sz w:val="21"/>
                <w:szCs w:val="21"/>
                <w:highlight w:val="none"/>
              </w:rPr>
            </w:pPr>
          </w:p>
          <w:p>
            <w:pPr>
              <w:spacing w:beforeAutospacing="0" w:afterAutospacing="0" w:line="360" w:lineRule="auto"/>
              <w:jc w:val="center"/>
              <w:rPr>
                <w:rFonts w:hAnsi="宋体"/>
                <w:color w:val="auto"/>
                <w:sz w:val="21"/>
                <w:szCs w:val="21"/>
                <w:highlight w:val="none"/>
              </w:rPr>
            </w:pPr>
          </w:p>
          <w:p>
            <w:pPr>
              <w:spacing w:beforeAutospacing="0" w:afterAutospacing="0" w:line="360" w:lineRule="auto"/>
              <w:jc w:val="center"/>
              <w:rPr>
                <w:rFonts w:hAnsi="宋体"/>
                <w:color w:val="auto"/>
                <w:sz w:val="21"/>
                <w:szCs w:val="21"/>
                <w:highlight w:val="none"/>
              </w:rPr>
            </w:pPr>
          </w:p>
          <w:p>
            <w:pPr>
              <w:spacing w:beforeAutospacing="0" w:afterAutospacing="0" w:line="360" w:lineRule="auto"/>
              <w:jc w:val="center"/>
              <w:rPr>
                <w:rFonts w:hAnsi="宋体"/>
                <w:color w:val="auto"/>
                <w:sz w:val="21"/>
                <w:szCs w:val="21"/>
                <w:highlight w:val="none"/>
              </w:rPr>
            </w:pPr>
          </w:p>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beforeAutospacing="0" w:after="120" w:afterAutospacing="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beforeAutospacing="0" w:after="120" w:afterAutospacing="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beforeAutospacing="0" w:after="120" w:afterAutospacing="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beforeAutospacing="0" w:after="120" w:afterAutospacing="0" w:line="360" w:lineRule="auto"/>
              <w:ind w:left="-122" w:leftChars="-51"/>
              <w:jc w:val="center"/>
              <w:rPr>
                <w:rFonts w:hAnsi="宋体"/>
                <w:color w:val="auto"/>
                <w:kern w:val="2"/>
                <w:sz w:val="21"/>
                <w:szCs w:val="21"/>
                <w:highlight w:val="none"/>
              </w:rPr>
            </w:pPr>
          </w:p>
        </w:tc>
        <w:tc>
          <w:tcPr>
            <w:tcW w:w="1266" w:type="dxa"/>
            <w:vAlign w:val="center"/>
          </w:tcPr>
          <w:p>
            <w:pPr>
              <w:spacing w:beforeAutospacing="0" w:afterAutospacing="0" w:line="360" w:lineRule="auto"/>
              <w:jc w:val="center"/>
              <w:rPr>
                <w:rFonts w:hAnsi="宋体"/>
                <w:color w:val="auto"/>
                <w:sz w:val="21"/>
                <w:szCs w:val="21"/>
                <w:highlight w:val="none"/>
              </w:rPr>
            </w:pPr>
          </w:p>
        </w:tc>
        <w:tc>
          <w:tcPr>
            <w:tcW w:w="3371" w:type="dxa"/>
            <w:vAlign w:val="center"/>
          </w:tcPr>
          <w:p>
            <w:pPr>
              <w:spacing w:beforeAutospacing="0" w:afterAutospacing="0" w:line="360" w:lineRule="auto"/>
              <w:jc w:val="center"/>
              <w:rPr>
                <w:rFonts w:hAnsi="宋体"/>
                <w:color w:val="auto"/>
                <w:sz w:val="21"/>
                <w:szCs w:val="21"/>
                <w:highlight w:val="none"/>
              </w:rPr>
            </w:pPr>
          </w:p>
        </w:tc>
        <w:tc>
          <w:tcPr>
            <w:tcW w:w="2113"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beforeAutospacing="0" w:after="120" w:afterAutospacing="0" w:line="360" w:lineRule="auto"/>
              <w:ind w:left="-122" w:leftChars="-51"/>
              <w:jc w:val="center"/>
              <w:outlineLvl w:val="2"/>
              <w:rPr>
                <w:rFonts w:hAnsi="宋体"/>
                <w:color w:val="auto"/>
                <w:kern w:val="2"/>
                <w:sz w:val="21"/>
                <w:szCs w:val="21"/>
                <w:highlight w:val="none"/>
              </w:rPr>
            </w:pPr>
          </w:p>
        </w:tc>
      </w:tr>
    </w:tbl>
    <w:p>
      <w:pPr>
        <w:autoSpaceDE/>
        <w:autoSpaceDN/>
        <w:adjustRightInd/>
        <w:spacing w:beforeAutospacing="0" w:afterAutospacing="0"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beforeAutospacing="0" w:afterAutospacing="0"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15"/>
        <w:ind w:firstLine="400"/>
        <w:rPr>
          <w:color w:val="auto"/>
          <w:highlight w:val="none"/>
        </w:rPr>
      </w:pPr>
    </w:p>
    <w:bookmarkEnd w:id="198"/>
    <w:bookmarkEnd w:id="199"/>
    <w:p>
      <w:pPr>
        <w:pStyle w:val="6"/>
        <w:numPr>
          <w:ilvl w:val="0"/>
          <w:numId w:val="17"/>
        </w:numPr>
        <w:jc w:val="center"/>
        <w:rPr>
          <w:color w:val="auto"/>
          <w:sz w:val="28"/>
          <w:szCs w:val="28"/>
          <w:highlight w:val="none"/>
        </w:rPr>
      </w:pPr>
      <w:bookmarkStart w:id="200" w:name="_Toc12735"/>
      <w:bookmarkEnd w:id="200"/>
      <w:r>
        <w:rPr>
          <w:rFonts w:hint="eastAsia"/>
          <w:bCs/>
          <w:color w:val="auto"/>
          <w:sz w:val="28"/>
          <w:szCs w:val="28"/>
          <w:highlight w:val="none"/>
        </w:rPr>
        <w:t>供应商所获资质或奖项证书一览表</w:t>
      </w:r>
    </w:p>
    <w:p>
      <w:pPr>
        <w:pStyle w:val="15"/>
        <w:tabs>
          <w:tab w:val="left" w:pos="8280"/>
        </w:tabs>
        <w:spacing w:beforeAutospacing="0" w:afterAutospacing="0"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bl>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beforeAutospacing="0" w:afterAutospacing="0" w:line="480" w:lineRule="exact"/>
        <w:rPr>
          <w:rFonts w:hAnsi="宋体"/>
          <w:b/>
          <w:color w:val="auto"/>
          <w:szCs w:val="21"/>
          <w:highlight w:val="none"/>
        </w:rPr>
      </w:pPr>
    </w:p>
    <w:p>
      <w:pPr>
        <w:spacing w:beforeAutospacing="0" w:afterAutospacing="0" w:line="480" w:lineRule="exact"/>
        <w:rPr>
          <w:rFonts w:hAnsi="宋体"/>
          <w:b/>
          <w:bCs/>
          <w:color w:val="auto"/>
          <w:szCs w:val="21"/>
          <w:highlight w:val="none"/>
        </w:rPr>
      </w:pPr>
    </w:p>
    <w:p>
      <w:pPr>
        <w:spacing w:beforeAutospacing="0" w:afterAutospacing="0" w:line="480" w:lineRule="exact"/>
        <w:rPr>
          <w:rFonts w:hAnsi="宋体"/>
          <w:b/>
          <w:bCs/>
          <w:color w:val="auto"/>
          <w:szCs w:val="21"/>
          <w:highlight w:val="none"/>
        </w:rPr>
      </w:pPr>
    </w:p>
    <w:p>
      <w:pPr>
        <w:rPr>
          <w:color w:val="auto"/>
          <w:highlight w:val="none"/>
        </w:rPr>
      </w:pPr>
    </w:p>
    <w:p>
      <w:pPr>
        <w:pStyle w:val="6"/>
        <w:numPr>
          <w:ilvl w:val="0"/>
          <w:numId w:val="17"/>
        </w:numPr>
        <w:jc w:val="center"/>
        <w:rPr>
          <w:color w:val="auto"/>
          <w:sz w:val="28"/>
          <w:szCs w:val="28"/>
          <w:highlight w:val="none"/>
        </w:rPr>
      </w:pPr>
      <w:bookmarkStart w:id="201" w:name="_Toc4884"/>
      <w:bookmarkEnd w:id="201"/>
      <w:bookmarkStart w:id="202" w:name="_Toc7897896"/>
      <w:bookmarkEnd w:id="202"/>
      <w:bookmarkStart w:id="203" w:name="_Toc4539"/>
      <w:bookmarkEnd w:id="203"/>
      <w:r>
        <w:rPr>
          <w:color w:val="auto"/>
          <w:highlight w:val="none"/>
        </w:rPr>
        <w:br w:type="page"/>
      </w:r>
      <w:r>
        <w:rPr>
          <w:rFonts w:hint="eastAsia"/>
          <w:bCs/>
          <w:color w:val="auto"/>
          <w:sz w:val="28"/>
          <w:szCs w:val="28"/>
          <w:highlight w:val="none"/>
        </w:rPr>
        <w:t>项目业绩一览表</w:t>
      </w:r>
    </w:p>
    <w:p>
      <w:pPr>
        <w:pStyle w:val="29"/>
        <w:spacing w:beforeAutospacing="0" w:afterAutospacing="0"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5"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tcPr>
          <w:p>
            <w:pPr>
              <w:snapToGrid w:val="0"/>
              <w:spacing w:beforeAutospacing="0" w:afterAutospacing="0" w:line="360" w:lineRule="auto"/>
              <w:rPr>
                <w:rFonts w:hAnsi="宋体"/>
                <w:color w:val="auto"/>
                <w:sz w:val="21"/>
                <w:szCs w:val="21"/>
                <w:highlight w:val="none"/>
              </w:rPr>
            </w:pPr>
          </w:p>
        </w:tc>
      </w:tr>
    </w:tbl>
    <w:p>
      <w:pPr>
        <w:pStyle w:val="29"/>
        <w:spacing w:beforeAutospacing="0" w:afterAutospacing="0" w:line="480" w:lineRule="exact"/>
        <w:rPr>
          <w:rFonts w:hAnsi="宋体"/>
          <w:color w:val="auto"/>
          <w:sz w:val="22"/>
          <w:szCs w:val="22"/>
          <w:highlight w:val="none"/>
        </w:rPr>
      </w:pPr>
    </w:p>
    <w:p>
      <w:pPr>
        <w:pStyle w:val="29"/>
        <w:spacing w:beforeAutospacing="0" w:afterAutospacing="0" w:line="480" w:lineRule="exact"/>
        <w:rPr>
          <w:rFonts w:hAnsi="宋体"/>
          <w:color w:val="auto"/>
          <w:sz w:val="22"/>
          <w:szCs w:val="22"/>
          <w:highlight w:val="none"/>
        </w:rPr>
      </w:pPr>
      <w:r>
        <w:rPr>
          <w:rFonts w:hint="eastAsia" w:hAnsi="宋体"/>
          <w:color w:val="auto"/>
          <w:sz w:val="22"/>
          <w:szCs w:val="22"/>
          <w:highlight w:val="none"/>
        </w:rPr>
        <w:t>要求：</w:t>
      </w:r>
    </w:p>
    <w:p>
      <w:pPr>
        <w:pStyle w:val="29"/>
        <w:spacing w:beforeAutospacing="0" w:afterAutospacing="0"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w:t>
      </w:r>
      <w:r>
        <w:rPr>
          <w:rFonts w:hint="eastAsia" w:hAnsi="宋体"/>
          <w:color w:val="auto"/>
          <w:sz w:val="22"/>
          <w:szCs w:val="22"/>
          <w:highlight w:val="none"/>
          <w:lang w:eastAsia="zh-CN"/>
        </w:rPr>
        <w:t>根据评分标准提供相应的证明材料</w:t>
      </w:r>
      <w:r>
        <w:rPr>
          <w:rFonts w:hint="eastAsia" w:hAnsi="宋体"/>
          <w:color w:val="auto"/>
          <w:sz w:val="22"/>
          <w:szCs w:val="22"/>
          <w:highlight w:val="none"/>
        </w:rPr>
        <w:t>。在填写过程中请按年份顺序填写。</w:t>
      </w:r>
    </w:p>
    <w:p>
      <w:pPr>
        <w:pStyle w:val="29"/>
        <w:spacing w:beforeAutospacing="0" w:afterAutospacing="0" w:line="480" w:lineRule="exact"/>
        <w:rPr>
          <w:rFonts w:hAnsi="宋体"/>
          <w:color w:val="auto"/>
          <w:sz w:val="22"/>
          <w:szCs w:val="22"/>
          <w:highlight w:val="none"/>
        </w:rPr>
      </w:pPr>
    </w:p>
    <w:p>
      <w:pPr>
        <w:overflowPunct w:val="0"/>
        <w:spacing w:beforeAutospacing="0" w:afterAutospacing="0"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beforeAutospacing="0" w:afterAutospacing="0"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beforeAutospacing="0" w:afterAutospacing="0"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6"/>
        <w:numPr>
          <w:ilvl w:val="0"/>
          <w:numId w:val="17"/>
        </w:numPr>
        <w:jc w:val="center"/>
        <w:rPr>
          <w:b w:val="0"/>
          <w:bCs/>
          <w:color w:val="auto"/>
          <w:sz w:val="28"/>
          <w:highlight w:val="none"/>
        </w:rPr>
      </w:pPr>
      <w:bookmarkStart w:id="204" w:name="_Toc23633"/>
      <w:bookmarkEnd w:id="204"/>
      <w:bookmarkStart w:id="205" w:name="_Toc7897897"/>
      <w:bookmarkEnd w:id="205"/>
      <w:bookmarkStart w:id="206" w:name="_Toc17432"/>
      <w:bookmarkEnd w:id="206"/>
      <w:r>
        <w:rPr>
          <w:color w:val="auto"/>
          <w:sz w:val="22"/>
          <w:szCs w:val="22"/>
          <w:highlight w:val="none"/>
        </w:rPr>
        <w:br w:type="page"/>
      </w:r>
      <w:r>
        <w:rPr>
          <w:rFonts w:hint="eastAsia"/>
          <w:bCs/>
          <w:color w:val="auto"/>
          <w:sz w:val="28"/>
          <w:highlight w:val="none"/>
        </w:rPr>
        <w:t>在经营活动中没有重大违法记录的书面声明</w:t>
      </w:r>
    </w:p>
    <w:p>
      <w:pPr>
        <w:pStyle w:val="75"/>
        <w:ind w:firstLine="0" w:firstLineChars="0"/>
        <w:jc w:val="center"/>
        <w:rPr>
          <w:rFonts w:ascii="宋体" w:eastAsia="宋体"/>
          <w:b/>
          <w:color w:val="auto"/>
          <w:sz w:val="28"/>
          <w:highlight w:val="none"/>
        </w:rPr>
      </w:pP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致：</w:t>
      </w: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6"/>
        <w:numPr>
          <w:ilvl w:val="0"/>
          <w:numId w:val="17"/>
        </w:numPr>
        <w:jc w:val="center"/>
        <w:rPr>
          <w:b w:val="0"/>
          <w:color w:val="auto"/>
          <w:sz w:val="28"/>
          <w:szCs w:val="28"/>
          <w:highlight w:val="none"/>
        </w:rPr>
      </w:pPr>
      <w:bookmarkStart w:id="207" w:name="_Toc7897900"/>
      <w:bookmarkEnd w:id="207"/>
      <w:bookmarkStart w:id="208" w:name="_Toc8181"/>
      <w:bookmarkEnd w:id="208"/>
      <w:bookmarkStart w:id="209" w:name="_Toc2461"/>
      <w:bookmarkEnd w:id="209"/>
      <w:bookmarkStart w:id="210" w:name="_Toc110953865"/>
      <w:bookmarkEnd w:id="210"/>
      <w:bookmarkStart w:id="211" w:name="_Toc480171915"/>
      <w:bookmarkStart w:id="212" w:name="_Toc467987857"/>
      <w:bookmarkStart w:id="213" w:name="_Toc480020290"/>
      <w:bookmarkStart w:id="214" w:name="_Toc458262644"/>
      <w:bookmarkStart w:id="215" w:name="_Toc468157570"/>
      <w:bookmarkStart w:id="216" w:name="_Toc454701411"/>
      <w:bookmarkStart w:id="217" w:name="_Toc35233726"/>
      <w:bookmarkStart w:id="218" w:name="_Toc479991617"/>
      <w:bookmarkStart w:id="219" w:name="_Toc467236774"/>
      <w:bookmarkStart w:id="220" w:name="_Toc480010743"/>
      <w:bookmarkStart w:id="221" w:name="_Toc468606065"/>
      <w:bookmarkStart w:id="222" w:name="_Toc480021086"/>
      <w:r>
        <w:rPr>
          <w:color w:val="auto"/>
          <w:sz w:val="22"/>
          <w:szCs w:val="22"/>
          <w:highlight w:val="none"/>
        </w:rPr>
        <w:br w:type="page"/>
      </w:r>
      <w:r>
        <w:rPr>
          <w:rFonts w:hint="eastAsia"/>
          <w:color w:val="auto"/>
          <w:sz w:val="28"/>
          <w:szCs w:val="28"/>
          <w:highlight w:val="none"/>
        </w:rPr>
        <w:t>针对本项目拟派人员及其技术资格一览表</w:t>
      </w:r>
    </w:p>
    <w:p>
      <w:pPr>
        <w:pStyle w:val="29"/>
        <w:spacing w:beforeAutospacing="0" w:afterAutospacing="0" w:line="480" w:lineRule="exact"/>
        <w:ind w:left="-202" w:leftChars="-84" w:firstLine="241" w:firstLineChars="100"/>
        <w:rPr>
          <w:rFonts w:hAnsi="宋体"/>
          <w:b/>
          <w:color w:val="auto"/>
          <w:sz w:val="24"/>
          <w:szCs w:val="21"/>
          <w:highlight w:val="none"/>
        </w:rPr>
      </w:pPr>
    </w:p>
    <w:p>
      <w:pPr>
        <w:pStyle w:val="29"/>
        <w:spacing w:beforeAutospacing="0" w:afterAutospacing="0" w:line="480" w:lineRule="exact"/>
        <w:ind w:left="-202" w:leftChars="-84" w:firstLine="221" w:firstLineChars="100"/>
        <w:rPr>
          <w:rFonts w:hAnsi="宋体"/>
          <w:b/>
          <w:color w:val="auto"/>
          <w:sz w:val="22"/>
          <w:szCs w:val="22"/>
          <w:highlight w:val="non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9"/>
              <w:spacing w:beforeAutospacing="0" w:afterAutospacing="0"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beforeAutospacing="0" w:afterAutospacing="0" w:line="480" w:lineRule="exact"/>
              <w:jc w:val="center"/>
              <w:rPr>
                <w:rFonts w:hAnsi="宋体"/>
                <w:color w:val="auto"/>
                <w:szCs w:val="21"/>
                <w:highlight w:val="none"/>
              </w:rPr>
            </w:pPr>
          </w:p>
        </w:tc>
        <w:tc>
          <w:tcPr>
            <w:tcW w:w="1026" w:type="dxa"/>
            <w:vAlign w:val="center"/>
          </w:tcPr>
          <w:p>
            <w:pPr>
              <w:pStyle w:val="29"/>
              <w:spacing w:beforeAutospacing="0" w:afterAutospacing="0" w:line="480" w:lineRule="exact"/>
              <w:jc w:val="center"/>
              <w:rPr>
                <w:rFonts w:hAnsi="宋体"/>
                <w:color w:val="auto"/>
                <w:szCs w:val="21"/>
                <w:highlight w:val="none"/>
              </w:rPr>
            </w:pPr>
          </w:p>
        </w:tc>
        <w:tc>
          <w:tcPr>
            <w:tcW w:w="877" w:type="dxa"/>
            <w:vAlign w:val="center"/>
          </w:tcPr>
          <w:p>
            <w:pPr>
              <w:pStyle w:val="29"/>
              <w:spacing w:beforeAutospacing="0" w:afterAutospacing="0" w:line="480" w:lineRule="exact"/>
              <w:jc w:val="center"/>
              <w:rPr>
                <w:rFonts w:hAnsi="宋体"/>
                <w:color w:val="auto"/>
                <w:szCs w:val="21"/>
                <w:highlight w:val="none"/>
              </w:rPr>
            </w:pPr>
          </w:p>
        </w:tc>
        <w:tc>
          <w:tcPr>
            <w:tcW w:w="1533" w:type="dxa"/>
          </w:tcPr>
          <w:p>
            <w:pPr>
              <w:pStyle w:val="29"/>
              <w:spacing w:beforeAutospacing="0" w:afterAutospacing="0" w:line="480" w:lineRule="exact"/>
              <w:jc w:val="center"/>
              <w:rPr>
                <w:rFonts w:hAnsi="宋体"/>
                <w:color w:val="auto"/>
                <w:szCs w:val="21"/>
                <w:highlight w:val="none"/>
              </w:rPr>
            </w:pPr>
          </w:p>
        </w:tc>
        <w:tc>
          <w:tcPr>
            <w:tcW w:w="1357" w:type="dxa"/>
            <w:vAlign w:val="center"/>
          </w:tcPr>
          <w:p>
            <w:pPr>
              <w:pStyle w:val="29"/>
              <w:spacing w:beforeAutospacing="0" w:afterAutospacing="0" w:line="480" w:lineRule="exact"/>
              <w:jc w:val="center"/>
              <w:rPr>
                <w:rFonts w:hAnsi="宋体"/>
                <w:color w:val="auto"/>
                <w:szCs w:val="21"/>
                <w:highlight w:val="none"/>
              </w:rPr>
            </w:pPr>
          </w:p>
        </w:tc>
        <w:tc>
          <w:tcPr>
            <w:tcW w:w="1200" w:type="dxa"/>
            <w:vAlign w:val="center"/>
          </w:tcPr>
          <w:p>
            <w:pPr>
              <w:pStyle w:val="29"/>
              <w:spacing w:beforeAutospacing="0" w:afterAutospacing="0" w:line="480" w:lineRule="exact"/>
              <w:jc w:val="center"/>
              <w:rPr>
                <w:rFonts w:hAnsi="宋体"/>
                <w:color w:val="auto"/>
                <w:szCs w:val="21"/>
                <w:highlight w:val="none"/>
              </w:rPr>
            </w:pPr>
          </w:p>
        </w:tc>
        <w:tc>
          <w:tcPr>
            <w:tcW w:w="1403" w:type="dxa"/>
            <w:vAlign w:val="center"/>
          </w:tcPr>
          <w:p>
            <w:pPr>
              <w:pStyle w:val="29"/>
              <w:spacing w:beforeAutospacing="0" w:afterAutospacing="0" w:line="480" w:lineRule="exact"/>
              <w:jc w:val="center"/>
              <w:rPr>
                <w:rFonts w:hAnsi="宋体"/>
                <w:color w:val="auto"/>
                <w:szCs w:val="21"/>
                <w:highlight w:val="none"/>
              </w:rPr>
            </w:pPr>
          </w:p>
        </w:tc>
        <w:tc>
          <w:tcPr>
            <w:tcW w:w="1403" w:type="dxa"/>
          </w:tcPr>
          <w:p>
            <w:pPr>
              <w:pStyle w:val="29"/>
              <w:spacing w:beforeAutospacing="0" w:afterAutospacing="0"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beforeAutospacing="0" w:afterAutospacing="0"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beforeAutospacing="0" w:afterAutospacing="0" w:line="460" w:lineRule="exact"/>
        <w:rPr>
          <w:rFonts w:hAnsi="宋体"/>
          <w:color w:val="auto"/>
          <w:sz w:val="22"/>
          <w:szCs w:val="22"/>
          <w:highlight w:val="none"/>
        </w:rPr>
      </w:pPr>
      <w:r>
        <w:rPr>
          <w:rFonts w:hint="eastAsia" w:hAnsi="宋体"/>
          <w:color w:val="auto"/>
          <w:sz w:val="21"/>
          <w:szCs w:val="21"/>
          <w:highlight w:val="none"/>
        </w:rPr>
        <w:t>日期：年月日</w:t>
      </w:r>
    </w:p>
    <w:p>
      <w:pPr>
        <w:spacing w:beforeAutospacing="0" w:afterAutospacing="0" w:line="480" w:lineRule="exact"/>
        <w:rPr>
          <w:rFonts w:hAnsi="宋体"/>
          <w:b/>
          <w:bCs/>
          <w:color w:val="auto"/>
          <w:szCs w:val="21"/>
          <w:highlight w:val="none"/>
        </w:rPr>
      </w:pPr>
    </w:p>
    <w:bookmarkEnd w:id="211"/>
    <w:bookmarkEnd w:id="212"/>
    <w:bookmarkEnd w:id="213"/>
    <w:bookmarkEnd w:id="214"/>
    <w:bookmarkEnd w:id="215"/>
    <w:bookmarkEnd w:id="216"/>
    <w:bookmarkEnd w:id="217"/>
    <w:bookmarkEnd w:id="218"/>
    <w:bookmarkEnd w:id="219"/>
    <w:bookmarkEnd w:id="220"/>
    <w:bookmarkEnd w:id="221"/>
    <w:bookmarkEnd w:id="222"/>
    <w:p>
      <w:pPr>
        <w:pStyle w:val="6"/>
        <w:numPr>
          <w:ilvl w:val="0"/>
          <w:numId w:val="17"/>
        </w:numPr>
        <w:jc w:val="center"/>
        <w:rPr>
          <w:bCs/>
          <w:color w:val="auto"/>
          <w:sz w:val="28"/>
          <w:szCs w:val="28"/>
          <w:highlight w:val="none"/>
        </w:rPr>
      </w:pPr>
      <w:bookmarkStart w:id="223" w:name="_Toc13441"/>
      <w:bookmarkEnd w:id="223"/>
      <w:r>
        <w:rPr>
          <w:bCs/>
          <w:color w:val="auto"/>
          <w:szCs w:val="21"/>
          <w:highlight w:val="none"/>
        </w:rPr>
        <w:br w:type="page"/>
      </w:r>
      <w:r>
        <w:rPr>
          <w:rFonts w:hint="eastAsia"/>
          <w:bCs/>
          <w:color w:val="auto"/>
          <w:sz w:val="28"/>
          <w:szCs w:val="28"/>
          <w:highlight w:val="none"/>
        </w:rPr>
        <w:t>磋商保证金汇入情况说明（适用于转账、电汇方式）</w:t>
      </w:r>
    </w:p>
    <w:p>
      <w:pPr>
        <w:spacing w:beforeAutospacing="0" w:afterAutospacing="0" w:line="460" w:lineRule="exact"/>
        <w:rPr>
          <w:rFonts w:hAnsi="宋体"/>
          <w:b/>
          <w:bCs/>
          <w:color w:val="auto"/>
          <w:sz w:val="22"/>
          <w:szCs w:val="22"/>
          <w:highlight w:val="none"/>
        </w:rPr>
      </w:pPr>
    </w:p>
    <w:p>
      <w:pPr>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  （项目名称）   （采购编号：     ）的磋商文件要求，于年月日前以（付款形式）方式汇入指定帐户（帐户名称：，帐号：,开户银行：）。</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汇款金额：（大写）人民币               元整</w:t>
      </w:r>
    </w:p>
    <w:p>
      <w:pPr>
        <w:spacing w:beforeAutospacing="0" w:afterAutospacing="0" w:line="460" w:lineRule="exact"/>
        <w:ind w:firstLine="1365" w:firstLineChars="650"/>
        <w:rPr>
          <w:rFonts w:hAnsi="宋体"/>
          <w:color w:val="auto"/>
          <w:sz w:val="21"/>
          <w:szCs w:val="21"/>
          <w:highlight w:val="none"/>
        </w:rPr>
      </w:pPr>
      <w:r>
        <w:rPr>
          <w:rFonts w:hint="eastAsia" w:hAnsi="宋体"/>
          <w:color w:val="auto"/>
          <w:sz w:val="21"/>
          <w:szCs w:val="21"/>
          <w:highlight w:val="none"/>
        </w:rPr>
        <w:t>（小写）￥元。</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 xml:space="preserve">汇款帐户名称：  （必须是磋商时使用的单位名称）   </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 xml:space="preserve">帐    号：  （必须是磋商时使用的帐号）     </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 xml:space="preserve">开户银行：    银行   省    市          (分行/支行)    </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beforeAutospacing="0" w:afterAutospacing="0"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beforeAutospacing="0" w:afterAutospacing="0" w:line="460" w:lineRule="exact"/>
        <w:rPr>
          <w:rFonts w:hAnsi="宋体"/>
          <w:b/>
          <w:bCs/>
          <w:color w:val="auto"/>
          <w:sz w:val="21"/>
          <w:szCs w:val="21"/>
          <w:highlight w:val="none"/>
        </w:rPr>
      </w:pPr>
    </w:p>
    <w:p>
      <w:pPr>
        <w:spacing w:beforeAutospacing="0" w:afterAutospacing="0"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beforeAutospacing="0" w:afterAutospacing="0"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beforeAutospacing="0" w:afterAutospacing="0"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beforeAutospacing="0" w:afterAutospacing="0"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beforeAutospacing="0" w:afterAutospacing="0"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beforeAutospacing="0" w:afterAutospacing="0" w:line="460" w:lineRule="exact"/>
        <w:rPr>
          <w:rFonts w:hAnsi="宋体"/>
          <w:color w:val="auto"/>
          <w:sz w:val="22"/>
          <w:szCs w:val="22"/>
          <w:highlight w:val="none"/>
        </w:rPr>
      </w:pPr>
      <w:r>
        <w:rPr>
          <w:color w:val="auto"/>
          <w:highlight w:val="none"/>
        </w:rPr>
        <w:br w:type="page"/>
      </w:r>
    </w:p>
    <w:p>
      <w:pPr>
        <w:pStyle w:val="6"/>
        <w:pageBreakBefore/>
        <w:spacing w:beforeAutospacing="0" w:afterAutospacing="0" w:line="360" w:lineRule="auto"/>
        <w:jc w:val="center"/>
        <w:rPr>
          <w:bCs/>
          <w:color w:val="auto"/>
          <w:sz w:val="28"/>
          <w:szCs w:val="28"/>
          <w:highlight w:val="none"/>
        </w:rPr>
      </w:pPr>
      <w:bookmarkStart w:id="224" w:name="_Toc19888"/>
      <w:bookmarkEnd w:id="224"/>
      <w:bookmarkStart w:id="225" w:name="_Toc20966"/>
      <w:bookmarkEnd w:id="225"/>
      <w:r>
        <w:rPr>
          <w:rFonts w:hint="eastAsia"/>
          <w:bCs/>
          <w:color w:val="auto"/>
          <w:sz w:val="28"/>
          <w:szCs w:val="28"/>
          <w:highlight w:val="none"/>
        </w:rPr>
        <w:t>第三部分 技术文件</w:t>
      </w:r>
    </w:p>
    <w:p>
      <w:pPr>
        <w:jc w:val="center"/>
        <w:rPr>
          <w:color w:val="auto"/>
          <w:highlight w:val="none"/>
        </w:rPr>
      </w:pPr>
    </w:p>
    <w:p>
      <w:pPr>
        <w:pStyle w:val="6"/>
        <w:numPr>
          <w:ilvl w:val="0"/>
          <w:numId w:val="18"/>
        </w:numPr>
        <w:jc w:val="center"/>
        <w:rPr>
          <w:color w:val="auto"/>
          <w:highlight w:val="none"/>
        </w:rPr>
      </w:pPr>
      <w:bookmarkStart w:id="226" w:name="_Toc1852"/>
      <w:bookmarkEnd w:id="226"/>
      <w:bookmarkStart w:id="227" w:name="_Toc15167"/>
      <w:bookmarkEnd w:id="227"/>
      <w:bookmarkStart w:id="228" w:name="_Toc31683"/>
      <w:bookmarkEnd w:id="228"/>
      <w:bookmarkStart w:id="229" w:name="_Toc9579"/>
      <w:bookmarkEnd w:id="229"/>
      <w:bookmarkStart w:id="230" w:name="_Toc24064"/>
      <w:bookmarkEnd w:id="230"/>
      <w:bookmarkStart w:id="231" w:name="_Toc25949"/>
      <w:bookmarkEnd w:id="231"/>
      <w:bookmarkStart w:id="232" w:name="_Toc9540"/>
      <w:bookmarkEnd w:id="232"/>
      <w:bookmarkStart w:id="233" w:name="_Toc28884"/>
      <w:bookmarkEnd w:id="233"/>
      <w:r>
        <w:rPr>
          <w:rFonts w:hint="eastAsia"/>
          <w:color w:val="auto"/>
          <w:highlight w:val="none"/>
        </w:rPr>
        <w:t>技术方案</w:t>
      </w:r>
    </w:p>
    <w:p>
      <w:pPr>
        <w:snapToGrid w:val="0"/>
        <w:spacing w:beforeAutospacing="0" w:afterAutospacing="0" w:line="360" w:lineRule="auto"/>
        <w:rPr>
          <w:rFonts w:hAnsi="宋体"/>
          <w:color w:val="auto"/>
          <w:sz w:val="21"/>
          <w:szCs w:val="21"/>
          <w:highlight w:val="none"/>
        </w:rPr>
      </w:pPr>
    </w:p>
    <w:p>
      <w:pPr>
        <w:snapToGrid w:val="0"/>
        <w:spacing w:beforeAutospacing="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beforeAutospacing="0" w:afterAutospacing="0" w:line="360" w:lineRule="auto"/>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6"/>
        <w:numPr>
          <w:ilvl w:val="0"/>
          <w:numId w:val="18"/>
        </w:numPr>
        <w:jc w:val="center"/>
        <w:rPr>
          <w:color w:val="auto"/>
          <w:highlight w:val="none"/>
        </w:rPr>
      </w:pPr>
      <w:bookmarkStart w:id="234" w:name="_Toc9619"/>
      <w:bookmarkEnd w:id="234"/>
      <w:bookmarkStart w:id="235" w:name="_Toc30049"/>
      <w:bookmarkEnd w:id="235"/>
      <w:bookmarkStart w:id="236" w:name="_Toc28953"/>
      <w:bookmarkEnd w:id="236"/>
      <w:bookmarkStart w:id="237" w:name="_Toc12278"/>
      <w:bookmarkEnd w:id="237"/>
      <w:bookmarkStart w:id="238" w:name="_Toc23849"/>
      <w:bookmarkEnd w:id="238"/>
      <w:bookmarkStart w:id="239" w:name="_Toc15530"/>
      <w:bookmarkEnd w:id="239"/>
      <w:bookmarkStart w:id="240" w:name="_Toc24947"/>
      <w:bookmarkEnd w:id="240"/>
      <w:bookmarkStart w:id="241" w:name="_Toc11036"/>
      <w:bookmarkEnd w:id="241"/>
      <w:r>
        <w:rPr>
          <w:rFonts w:hint="eastAsia"/>
          <w:color w:val="auto"/>
          <w:highlight w:val="none"/>
        </w:rPr>
        <w:t>其他资料</w:t>
      </w:r>
    </w:p>
    <w:p>
      <w:pPr>
        <w:pStyle w:val="29"/>
        <w:spacing w:beforeAutospacing="0" w:afterAutospacing="0" w:line="360" w:lineRule="auto"/>
        <w:ind w:firstLine="420"/>
        <w:rPr>
          <w:rFonts w:hAnsi="宋体"/>
          <w:color w:val="auto"/>
          <w:highlight w:val="none"/>
        </w:rPr>
      </w:pP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beforeAutospacing="0" w:afterAutospacing="0"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6"/>
        <w:jc w:val="center"/>
        <w:rPr>
          <w:color w:val="auto"/>
          <w:sz w:val="28"/>
          <w:szCs w:val="28"/>
          <w:highlight w:val="none"/>
        </w:rPr>
      </w:pPr>
      <w:bookmarkStart w:id="242" w:name="_Toc17492"/>
      <w:bookmarkEnd w:id="242"/>
      <w:r>
        <w:rPr>
          <w:rFonts w:hint="eastAsia"/>
          <w:color w:val="auto"/>
          <w:sz w:val="28"/>
          <w:szCs w:val="28"/>
          <w:highlight w:val="none"/>
        </w:rPr>
        <w:t>第四部分 唱标信封</w:t>
      </w:r>
      <w:r>
        <w:rPr>
          <w:rFonts w:hint="eastAsia"/>
          <w:bCs/>
          <w:color w:val="auto"/>
          <w:sz w:val="28"/>
          <w:szCs w:val="28"/>
          <w:highlight w:val="none"/>
        </w:rPr>
        <w:t>（单独编制装订成册，单独封装）</w:t>
      </w:r>
    </w:p>
    <w:p>
      <w:pPr>
        <w:pStyle w:val="75"/>
        <w:spacing w:beforeAutospacing="0" w:afterAutospacing="0"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（1）磋商保证金汇入情况说明及银行汇款凭证复印件加盖公章；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（2）法定代表人证明书原件或正本复印件加盖公章；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（3）法定代表人授权委托书原件或正本复印件加盖公章（法定代表人磋商的除外）；</w:t>
      </w:r>
    </w:p>
    <w:p>
      <w:pPr>
        <w:pStyle w:val="75"/>
        <w:spacing w:beforeAutospacing="0" w:afterAutospacing="0" w:line="460" w:lineRule="exact"/>
        <w:ind w:firstLine="433"/>
        <w:rPr>
          <w:rFonts w:ascii="宋体" w:eastAsia="宋体"/>
          <w:color w:val="auto"/>
          <w:sz w:val="22"/>
          <w:szCs w:val="22"/>
          <w:highlight w:val="none"/>
        </w:rPr>
      </w:pPr>
      <w:r>
        <w:rPr>
          <w:rFonts w:hint="eastAsia" w:ascii="宋体" w:eastAsia="宋体"/>
          <w:sz w:val="21"/>
          <w:szCs w:val="21"/>
          <w:highlight w:val="none"/>
        </w:rPr>
        <w:t>（4）磋商文件电子文件（须含盖章版PDF投标文件和WORD版</w:t>
      </w:r>
      <w:r>
        <w:rPr>
          <w:rFonts w:hint="eastAsia" w:ascii="宋体" w:eastAsia="宋体"/>
          <w:sz w:val="21"/>
          <w:szCs w:val="21"/>
          <w:highlight w:val="none"/>
          <w:lang w:eastAsia="zh-CN"/>
        </w:rPr>
        <w:t>磋商响应</w:t>
      </w:r>
      <w:r>
        <w:rPr>
          <w:rFonts w:hint="eastAsia" w:ascii="宋体" w:eastAsia="宋体"/>
          <w:sz w:val="21"/>
          <w:szCs w:val="21"/>
          <w:highlight w:val="none"/>
        </w:rPr>
        <w:t>文件各一版，文字采用WORD文档，计算表格采用 EXCEL文档, 可采用光盘介质或U盘装载）</w:t>
      </w:r>
      <w:r>
        <w:rPr>
          <w:rFonts w:hint="eastAsia" w:ascii="宋体" w:eastAsia="宋体"/>
          <w:color w:val="auto"/>
          <w:sz w:val="21"/>
          <w:szCs w:val="21"/>
          <w:highlight w:val="none"/>
        </w:rPr>
        <w:t>；</w:t>
      </w:r>
    </w:p>
    <w:p>
      <w:pPr>
        <w:pStyle w:val="75"/>
        <w:spacing w:beforeAutospacing="0" w:afterAutospacing="0"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5"/>
        <w:ind w:firstLine="400"/>
        <w:rPr>
          <w:color w:val="auto"/>
          <w:highlight w:val="none"/>
          <w:lang w:val="zh-CN"/>
        </w:rPr>
      </w:pPr>
    </w:p>
    <w:p>
      <w:pPr>
        <w:pStyle w:val="15"/>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33D067-91C5-44E5-842D-F030C0F549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3428C94-86B6-4F45-A317-A283A6F44495}"/>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C23D26E9-B336-4351-8224-0B0C17DB46A2}"/>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4" w:fontKey="{8F626943-56FB-4DB1-A5D4-287E7665286A}"/>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embedRegular r:id="rId5" w:fontKey="{D940D5FF-9D0F-4A11-8BB6-62898FD5B680}"/>
  </w:font>
  <w:font w:name="时尚中黑简体">
    <w:altName w:val="黑体"/>
    <w:panose1 w:val="00000000000000000000"/>
    <w:charset w:val="86"/>
    <w:family w:val="auto"/>
    <w:pitch w:val="default"/>
    <w:sig w:usb0="00000000" w:usb1="00000000" w:usb2="00000012" w:usb3="00000000" w:csb0="00040001" w:csb1="00000000"/>
    <w:embedRegular r:id="rId6" w:fontKey="{658BD969-6E65-4925-8AC7-0E513B687FB9}"/>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TtW31AAA&#10;AAIBAAAPAAAAAAAAAAEAIAAAACIAAABkcnMvZG93bnJldi54bWxQSwECFAAUAAAACACHTuJAXgBS&#10;MekBAADEAwAADgAAAAAAAAABACAAAAAjAQAAZHJzL2Uyb0RvYy54bWxQSwUGAAAAAAYABgBZAQAA&#10;fg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GmCS9MAAAAFAQAA&#10;DwAAAAAAAAABACAAAAAiAAAAZHJzL2Rvd25yZXYueG1sUEsBAhQAFAAAAAgAh07iQKbn5QTlAQAA&#10;xwMAAA4AAAAAAAAAAQAgAAAAIgEAAGRycy9lMm9Eb2MueG1sUEsFBgAAAAAGAAYAWQEAAHkFAAAA&#10;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7"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logo"/>
                  <pic:cNvPicPr>
                    <a:picLocks noChangeAspect="1"/>
                  </pic:cNvPicPr>
                </pic:nvPicPr>
                <pic:blipFill>
                  <a:blip r:embed="rId1"/>
                  <a:srcRect/>
                  <a:stretch>
                    <a:fillRect/>
                  </a:stretch>
                </pic:blipFill>
                <pic:spPr>
                  <a:xfrm>
                    <a:off x="0" y="0"/>
                    <a:ext cx="434340" cy="434340"/>
                  </a:xfrm>
                  <a:prstGeom prst="rect">
                    <a:avLst/>
                  </a:prstGeom>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18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0"/>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2D5432"/>
    <w:rsid w:val="02414B92"/>
    <w:rsid w:val="02514633"/>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BC62D2"/>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3F46E9"/>
    <w:rsid w:val="0A747C95"/>
    <w:rsid w:val="0A99628C"/>
    <w:rsid w:val="0AA12C61"/>
    <w:rsid w:val="0AD50B07"/>
    <w:rsid w:val="0B0D3780"/>
    <w:rsid w:val="0B192E69"/>
    <w:rsid w:val="0B1E5674"/>
    <w:rsid w:val="0B481D54"/>
    <w:rsid w:val="0B567FBC"/>
    <w:rsid w:val="0B697386"/>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E30061A"/>
    <w:rsid w:val="0E6759EA"/>
    <w:rsid w:val="0E693E94"/>
    <w:rsid w:val="0EAB15DF"/>
    <w:rsid w:val="0EBD4ECC"/>
    <w:rsid w:val="0EC12B61"/>
    <w:rsid w:val="0ECB16D0"/>
    <w:rsid w:val="0F040E0A"/>
    <w:rsid w:val="0F0F3E67"/>
    <w:rsid w:val="0F36681E"/>
    <w:rsid w:val="0F554B61"/>
    <w:rsid w:val="0F684139"/>
    <w:rsid w:val="0F995D35"/>
    <w:rsid w:val="0FA658B8"/>
    <w:rsid w:val="0FA725F9"/>
    <w:rsid w:val="0FB125A0"/>
    <w:rsid w:val="0FCF622B"/>
    <w:rsid w:val="0FF75B36"/>
    <w:rsid w:val="1007384E"/>
    <w:rsid w:val="105B3A5F"/>
    <w:rsid w:val="107962EB"/>
    <w:rsid w:val="107D7A08"/>
    <w:rsid w:val="10C4053D"/>
    <w:rsid w:val="10D064F7"/>
    <w:rsid w:val="10D24A7B"/>
    <w:rsid w:val="10D763F7"/>
    <w:rsid w:val="10DA580F"/>
    <w:rsid w:val="111A2A3D"/>
    <w:rsid w:val="11244D2A"/>
    <w:rsid w:val="114253E0"/>
    <w:rsid w:val="11461A94"/>
    <w:rsid w:val="115D274C"/>
    <w:rsid w:val="115E3727"/>
    <w:rsid w:val="11B472DB"/>
    <w:rsid w:val="11F779A2"/>
    <w:rsid w:val="1207493D"/>
    <w:rsid w:val="120D27E9"/>
    <w:rsid w:val="124364E9"/>
    <w:rsid w:val="126B772B"/>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A53363"/>
    <w:rsid w:val="16DB0595"/>
    <w:rsid w:val="16DF2F08"/>
    <w:rsid w:val="16E051E8"/>
    <w:rsid w:val="16ED26EB"/>
    <w:rsid w:val="17066EDE"/>
    <w:rsid w:val="1713214D"/>
    <w:rsid w:val="17945C52"/>
    <w:rsid w:val="17970727"/>
    <w:rsid w:val="17A71BF3"/>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482CA9"/>
    <w:rsid w:val="1A6E6871"/>
    <w:rsid w:val="1AB56D4E"/>
    <w:rsid w:val="1AC84383"/>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392DD2"/>
    <w:rsid w:val="1C43363D"/>
    <w:rsid w:val="1C4628F7"/>
    <w:rsid w:val="1C79295A"/>
    <w:rsid w:val="1CA03602"/>
    <w:rsid w:val="1CC16689"/>
    <w:rsid w:val="1CCC24BC"/>
    <w:rsid w:val="1CE1575A"/>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902778"/>
    <w:rsid w:val="20AF30C4"/>
    <w:rsid w:val="20B20678"/>
    <w:rsid w:val="20C20F88"/>
    <w:rsid w:val="20FD5C7C"/>
    <w:rsid w:val="21096CBA"/>
    <w:rsid w:val="2115662C"/>
    <w:rsid w:val="21361A04"/>
    <w:rsid w:val="214418DF"/>
    <w:rsid w:val="21B95143"/>
    <w:rsid w:val="21C04FD1"/>
    <w:rsid w:val="21C47280"/>
    <w:rsid w:val="21D51B3D"/>
    <w:rsid w:val="21FE0CB2"/>
    <w:rsid w:val="220D6242"/>
    <w:rsid w:val="22196712"/>
    <w:rsid w:val="2272212A"/>
    <w:rsid w:val="22EC4950"/>
    <w:rsid w:val="22ED5F44"/>
    <w:rsid w:val="23197F12"/>
    <w:rsid w:val="231A56E2"/>
    <w:rsid w:val="231F7C19"/>
    <w:rsid w:val="232B5FAF"/>
    <w:rsid w:val="23375B7E"/>
    <w:rsid w:val="233F76E0"/>
    <w:rsid w:val="23481CC9"/>
    <w:rsid w:val="235F1272"/>
    <w:rsid w:val="237D56D4"/>
    <w:rsid w:val="23AE10BA"/>
    <w:rsid w:val="23E56B32"/>
    <w:rsid w:val="24142B46"/>
    <w:rsid w:val="24183F62"/>
    <w:rsid w:val="241D037F"/>
    <w:rsid w:val="2433149D"/>
    <w:rsid w:val="246270E4"/>
    <w:rsid w:val="24772C2B"/>
    <w:rsid w:val="248B2E3F"/>
    <w:rsid w:val="24A0056F"/>
    <w:rsid w:val="24AB10D9"/>
    <w:rsid w:val="24C60CBA"/>
    <w:rsid w:val="24DF22D5"/>
    <w:rsid w:val="25241FCD"/>
    <w:rsid w:val="257008BE"/>
    <w:rsid w:val="258A0443"/>
    <w:rsid w:val="25E86FC2"/>
    <w:rsid w:val="260C3AE7"/>
    <w:rsid w:val="261B35E2"/>
    <w:rsid w:val="261D7A35"/>
    <w:rsid w:val="263A612D"/>
    <w:rsid w:val="264028AF"/>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B14A8"/>
    <w:rsid w:val="29AC6651"/>
    <w:rsid w:val="29C4608A"/>
    <w:rsid w:val="29E769C8"/>
    <w:rsid w:val="29F21662"/>
    <w:rsid w:val="29F51AC1"/>
    <w:rsid w:val="29F51D07"/>
    <w:rsid w:val="29FC30C2"/>
    <w:rsid w:val="2A406B43"/>
    <w:rsid w:val="2A6D3E9B"/>
    <w:rsid w:val="2A783D0E"/>
    <w:rsid w:val="2A9C0461"/>
    <w:rsid w:val="2AD0515C"/>
    <w:rsid w:val="2AE8528D"/>
    <w:rsid w:val="2AF14141"/>
    <w:rsid w:val="2AF16E8B"/>
    <w:rsid w:val="2B0B7CEC"/>
    <w:rsid w:val="2B27452A"/>
    <w:rsid w:val="2B2A0FC7"/>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B232A0"/>
    <w:rsid w:val="2ED21188"/>
    <w:rsid w:val="2EE1137A"/>
    <w:rsid w:val="2EE6759F"/>
    <w:rsid w:val="2EEB0819"/>
    <w:rsid w:val="2F010E90"/>
    <w:rsid w:val="2F0C69E6"/>
    <w:rsid w:val="2F0D5CED"/>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5D26ABC"/>
    <w:rsid w:val="36034EE1"/>
    <w:rsid w:val="36237D2D"/>
    <w:rsid w:val="363503EB"/>
    <w:rsid w:val="3647637B"/>
    <w:rsid w:val="367F686D"/>
    <w:rsid w:val="36A14C50"/>
    <w:rsid w:val="36B412F5"/>
    <w:rsid w:val="36CC7A6D"/>
    <w:rsid w:val="37076693"/>
    <w:rsid w:val="372B30FF"/>
    <w:rsid w:val="372F768E"/>
    <w:rsid w:val="37462E03"/>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151040"/>
    <w:rsid w:val="3F2B7413"/>
    <w:rsid w:val="3F4A6694"/>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783678"/>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45E88"/>
    <w:rsid w:val="44DD6EB7"/>
    <w:rsid w:val="44E01145"/>
    <w:rsid w:val="44EB79FC"/>
    <w:rsid w:val="450018DF"/>
    <w:rsid w:val="450F2BC2"/>
    <w:rsid w:val="451D2C75"/>
    <w:rsid w:val="454746DD"/>
    <w:rsid w:val="454A0C3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9D06AD"/>
    <w:rsid w:val="46A14FC5"/>
    <w:rsid w:val="46B27CB1"/>
    <w:rsid w:val="46D34E98"/>
    <w:rsid w:val="47001117"/>
    <w:rsid w:val="47246805"/>
    <w:rsid w:val="47492E75"/>
    <w:rsid w:val="474F7F9F"/>
    <w:rsid w:val="475F3AC1"/>
    <w:rsid w:val="479A2ED2"/>
    <w:rsid w:val="47B328B4"/>
    <w:rsid w:val="47C13542"/>
    <w:rsid w:val="47D44199"/>
    <w:rsid w:val="48113D01"/>
    <w:rsid w:val="484C7B11"/>
    <w:rsid w:val="485E0A04"/>
    <w:rsid w:val="48740F1D"/>
    <w:rsid w:val="48761BE3"/>
    <w:rsid w:val="4883453B"/>
    <w:rsid w:val="489E0EB1"/>
    <w:rsid w:val="48A4548A"/>
    <w:rsid w:val="48A57E1F"/>
    <w:rsid w:val="48B50D92"/>
    <w:rsid w:val="48DE3BBF"/>
    <w:rsid w:val="48E77164"/>
    <w:rsid w:val="491D19DF"/>
    <w:rsid w:val="49304CB2"/>
    <w:rsid w:val="496F6EBE"/>
    <w:rsid w:val="49814F4C"/>
    <w:rsid w:val="49A364F7"/>
    <w:rsid w:val="49B42429"/>
    <w:rsid w:val="49BB7289"/>
    <w:rsid w:val="49C34AA3"/>
    <w:rsid w:val="49C4569B"/>
    <w:rsid w:val="4A074043"/>
    <w:rsid w:val="4A090DC7"/>
    <w:rsid w:val="4A091441"/>
    <w:rsid w:val="4A14567E"/>
    <w:rsid w:val="4A1E6180"/>
    <w:rsid w:val="4A2308FE"/>
    <w:rsid w:val="4A287AB1"/>
    <w:rsid w:val="4A5133EE"/>
    <w:rsid w:val="4A915C19"/>
    <w:rsid w:val="4A955A49"/>
    <w:rsid w:val="4A9C5501"/>
    <w:rsid w:val="4AAF7BD4"/>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D2572CD"/>
    <w:rsid w:val="4D354FF0"/>
    <w:rsid w:val="4D4C32B8"/>
    <w:rsid w:val="4D770C11"/>
    <w:rsid w:val="4DBB048A"/>
    <w:rsid w:val="4DE07DE4"/>
    <w:rsid w:val="4E0D5D14"/>
    <w:rsid w:val="4E2F45C0"/>
    <w:rsid w:val="4E363F2F"/>
    <w:rsid w:val="4E9339F6"/>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397E11"/>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D52EC0"/>
    <w:rsid w:val="52F10B24"/>
    <w:rsid w:val="533A68CA"/>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687D10"/>
    <w:rsid w:val="568C03E5"/>
    <w:rsid w:val="56E60496"/>
    <w:rsid w:val="57374E0B"/>
    <w:rsid w:val="57444728"/>
    <w:rsid w:val="575B090B"/>
    <w:rsid w:val="577439B5"/>
    <w:rsid w:val="57926FF9"/>
    <w:rsid w:val="57A71D77"/>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9DE55FD"/>
    <w:rsid w:val="59F8604E"/>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DE06220"/>
    <w:rsid w:val="5DFB733A"/>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D26F95"/>
    <w:rsid w:val="61F17268"/>
    <w:rsid w:val="620504EC"/>
    <w:rsid w:val="620A3859"/>
    <w:rsid w:val="62161620"/>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C6599A"/>
    <w:rsid w:val="64FA320D"/>
    <w:rsid w:val="65797FD4"/>
    <w:rsid w:val="657B2333"/>
    <w:rsid w:val="658D5E16"/>
    <w:rsid w:val="65953363"/>
    <w:rsid w:val="65B841DE"/>
    <w:rsid w:val="65CA03C9"/>
    <w:rsid w:val="65E1661E"/>
    <w:rsid w:val="65E36C18"/>
    <w:rsid w:val="660918F9"/>
    <w:rsid w:val="663C1302"/>
    <w:rsid w:val="665F0112"/>
    <w:rsid w:val="669A5886"/>
    <w:rsid w:val="66BF54E4"/>
    <w:rsid w:val="66F66AFA"/>
    <w:rsid w:val="67101119"/>
    <w:rsid w:val="67151BB5"/>
    <w:rsid w:val="671C67EA"/>
    <w:rsid w:val="67400D4D"/>
    <w:rsid w:val="677A414A"/>
    <w:rsid w:val="67C952B3"/>
    <w:rsid w:val="67DB4341"/>
    <w:rsid w:val="68720AE2"/>
    <w:rsid w:val="689554F5"/>
    <w:rsid w:val="68AA7215"/>
    <w:rsid w:val="68C85276"/>
    <w:rsid w:val="68ED6911"/>
    <w:rsid w:val="6903642B"/>
    <w:rsid w:val="690F1870"/>
    <w:rsid w:val="692F5E27"/>
    <w:rsid w:val="69466675"/>
    <w:rsid w:val="69887604"/>
    <w:rsid w:val="698C2B7F"/>
    <w:rsid w:val="69AB5D7A"/>
    <w:rsid w:val="69DF7E6A"/>
    <w:rsid w:val="69F575F2"/>
    <w:rsid w:val="6A2C26FB"/>
    <w:rsid w:val="6A34748C"/>
    <w:rsid w:val="6A4C7335"/>
    <w:rsid w:val="6A531E39"/>
    <w:rsid w:val="6A545ADB"/>
    <w:rsid w:val="6A5D05BD"/>
    <w:rsid w:val="6A6B11C7"/>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CDA118A"/>
    <w:rsid w:val="6D0C01A9"/>
    <w:rsid w:val="6D493A0A"/>
    <w:rsid w:val="6D551BE3"/>
    <w:rsid w:val="6D8E2C9C"/>
    <w:rsid w:val="6DAD51A4"/>
    <w:rsid w:val="6DAD69DD"/>
    <w:rsid w:val="6E017D0E"/>
    <w:rsid w:val="6E053E0B"/>
    <w:rsid w:val="6E1E1DB6"/>
    <w:rsid w:val="6E262E38"/>
    <w:rsid w:val="6E3F4BAC"/>
    <w:rsid w:val="6E735A03"/>
    <w:rsid w:val="6E7D3005"/>
    <w:rsid w:val="6EA04E08"/>
    <w:rsid w:val="6EAA18F7"/>
    <w:rsid w:val="6EC577F2"/>
    <w:rsid w:val="6ECF710B"/>
    <w:rsid w:val="6EEE5D94"/>
    <w:rsid w:val="6EFF3A37"/>
    <w:rsid w:val="6F050882"/>
    <w:rsid w:val="6F0B5A13"/>
    <w:rsid w:val="6F1579C7"/>
    <w:rsid w:val="6F62521C"/>
    <w:rsid w:val="6FBC6483"/>
    <w:rsid w:val="6FC26F58"/>
    <w:rsid w:val="6FD761EC"/>
    <w:rsid w:val="6FE52312"/>
    <w:rsid w:val="6FF1085F"/>
    <w:rsid w:val="700F6510"/>
    <w:rsid w:val="703D5B2A"/>
    <w:rsid w:val="70750A7A"/>
    <w:rsid w:val="70991D59"/>
    <w:rsid w:val="709A5C21"/>
    <w:rsid w:val="70C51917"/>
    <w:rsid w:val="70D02722"/>
    <w:rsid w:val="70F067F3"/>
    <w:rsid w:val="71154E75"/>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C13A02"/>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45E4B"/>
    <w:rsid w:val="74071758"/>
    <w:rsid w:val="741425AC"/>
    <w:rsid w:val="7463178E"/>
    <w:rsid w:val="746371B3"/>
    <w:rsid w:val="747A43C9"/>
    <w:rsid w:val="7508529D"/>
    <w:rsid w:val="752C3218"/>
    <w:rsid w:val="75397634"/>
    <w:rsid w:val="75537CD8"/>
    <w:rsid w:val="75595BE3"/>
    <w:rsid w:val="757606EF"/>
    <w:rsid w:val="75844FC1"/>
    <w:rsid w:val="75E56EEC"/>
    <w:rsid w:val="75EE069B"/>
    <w:rsid w:val="7615419A"/>
    <w:rsid w:val="76172D6A"/>
    <w:rsid w:val="761A409E"/>
    <w:rsid w:val="762F02D7"/>
    <w:rsid w:val="763D7340"/>
    <w:rsid w:val="76713892"/>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7D4FBC"/>
    <w:rsid w:val="77C64121"/>
    <w:rsid w:val="77CD3C5D"/>
    <w:rsid w:val="77FD4667"/>
    <w:rsid w:val="781200C6"/>
    <w:rsid w:val="78150104"/>
    <w:rsid w:val="786B1829"/>
    <w:rsid w:val="786C5F47"/>
    <w:rsid w:val="78C7234E"/>
    <w:rsid w:val="78CC5996"/>
    <w:rsid w:val="791063B8"/>
    <w:rsid w:val="792720A9"/>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1B568C"/>
    <w:rsid w:val="7F6C7183"/>
    <w:rsid w:val="7F6D682D"/>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1"/>
    <w:qFormat/>
    <w:uiPriority w:val="0"/>
    <w:pPr>
      <w:outlineLvl w:val="2"/>
    </w:pPr>
  </w:style>
  <w:style w:type="paragraph" w:styleId="8">
    <w:name w:val="heading 4"/>
    <w:basedOn w:val="1"/>
    <w:next w:val="1"/>
    <w:qFormat/>
    <w:uiPriority w:val="0"/>
    <w:pPr>
      <w:keepNext/>
      <w:keepLines/>
      <w:spacing w:before="280" w:beforeAutospacing="0" w:after="290" w:afterAutospacing="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beforeAutospacing="0" w:after="290" w:afterAutospacing="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beforeAutospacing="0" w:after="64" w:afterAutospacing="0"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beforeAutospacing="0" w:after="64" w:afterAutospacing="0"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beforeAutospacing="0" w:after="64" w:afterAutospacing="0"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beforeAutospacing="0" w:after="64" w:afterAutospacing="0"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beforeAutospacing="0" w:after="120" w:afterAutospacing="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14">
    <w:name w:val="toc 7"/>
    <w:basedOn w:val="1"/>
    <w:next w:val="1"/>
    <w:qFormat/>
    <w:uiPriority w:val="0"/>
    <w:pPr>
      <w:ind w:left="1440"/>
    </w:pPr>
    <w:rPr>
      <w:rFonts w:ascii="Calibri" w:cs="Calibri"/>
      <w:sz w:val="18"/>
      <w:szCs w:val="18"/>
    </w:rPr>
  </w:style>
  <w:style w:type="paragraph" w:styleId="15">
    <w:name w:val="Normal Indent"/>
    <w:basedOn w:val="1"/>
    <w:link w:val="76"/>
    <w:qFormat/>
    <w:uiPriority w:val="0"/>
    <w:pPr>
      <w:widowControl/>
      <w:autoSpaceDE/>
      <w:autoSpaceDN/>
      <w:adjustRightInd/>
      <w:ind w:firstLine="420" w:firstLineChars="200"/>
    </w:pPr>
    <w:rPr>
      <w:rFonts w:ascii="Calibri"/>
      <w:sz w:val="20"/>
      <w:szCs w:val="20"/>
    </w:rPr>
  </w:style>
  <w:style w:type="paragraph" w:styleId="16">
    <w:name w:val="caption"/>
    <w:basedOn w:val="1"/>
    <w:next w:val="1"/>
    <w:qFormat/>
    <w:uiPriority w:val="0"/>
    <w:pPr>
      <w:spacing w:before="152" w:beforeAutospacing="0" w:after="160" w:afterAutospacing="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beforeAutospacing="0" w:afterAutospacing="0"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beforeAutospacing="0" w:afterAutospacing="0" w:line="360" w:lineRule="auto"/>
      <w:jc w:val="both"/>
    </w:pPr>
    <w:rPr>
      <w:rFonts w:ascii="Arial" w:hAnsi="Arial"/>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beforeAutospacing="0" w:after="120" w:afterAutospacing="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beforeAutospacing="0" w:after="120" w:afterAutospacing="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beforeAutospacing="0" w:after="60" w:afterAutospacing="0" w:line="312" w:lineRule="auto"/>
      <w:jc w:val="center"/>
      <w:outlineLvl w:val="1"/>
    </w:pPr>
    <w:rPr>
      <w:rFonts w:ascii="Arial" w:hAnsi="Arial"/>
      <w:b/>
      <w:kern w:val="28"/>
      <w:sz w:val="32"/>
      <w:szCs w:val="20"/>
    </w:rPr>
  </w:style>
  <w:style w:type="paragraph" w:styleId="41">
    <w:name w:val="Body Text Indent 3"/>
    <w:basedOn w:val="1"/>
    <w:qFormat/>
    <w:uiPriority w:val="0"/>
    <w:pPr>
      <w:spacing w:beforeAutospacing="0" w:afterAutospacing="0" w:line="360" w:lineRule="auto"/>
      <w:ind w:firstLine="480" w:firstLineChars="200"/>
    </w:pPr>
  </w:style>
  <w:style w:type="paragraph" w:styleId="42">
    <w:name w:val="toc 2"/>
    <w:basedOn w:val="1"/>
    <w:next w:val="1"/>
    <w:qFormat/>
    <w:uiPriority w:val="0"/>
    <w:pPr>
      <w:ind w:left="240"/>
    </w:pPr>
    <w:rPr>
      <w:rFonts w:ascii="Calibri" w:cs="Calibri"/>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beforeAutospacing="0" w:afterAutospacing="0"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Autospacing="0" w:afterAutospacing="0"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qFormat/>
    <w:uiPriority w:val="0"/>
    <w:pPr>
      <w:numPr>
        <w:ilvl w:val="0"/>
        <w:numId w:val="4"/>
      </w:numPr>
      <w:tabs>
        <w:tab w:val="clear" w:pos="2121"/>
      </w:tabs>
      <w:autoSpaceDE/>
      <w:autoSpaceDN/>
      <w:snapToGrid w:val="0"/>
      <w:spacing w:beforeLines="50" w:beforeAutospacing="0" w:afterLines="50" w:afterAutospacing="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rPr>
  </w:style>
  <w:style w:type="character" w:styleId="57">
    <w:name w:val="Emphasis"/>
    <w:qFormat/>
    <w:uiPriority w:val="0"/>
    <w:rPr>
      <w:i/>
      <w:iCs/>
    </w:rPr>
  </w:style>
  <w:style w:type="character" w:styleId="58">
    <w:name w:val="Hyperlink"/>
    <w:qFormat/>
    <w:uiPriority w:val="0"/>
    <w:rPr>
      <w:color w:val="333333"/>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beforeAutospacing="0" w:after="25" w:afterAutospacing="0"/>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beforeAutospacing="0" w:after="260" w:afterAutospacing="0" w:line="600" w:lineRule="exact"/>
      <w:jc w:val="both"/>
    </w:pPr>
    <w:rPr>
      <w:rFonts w:hAnsi="宋体"/>
      <w:b/>
      <w:bCs/>
      <w:kern w:val="2"/>
      <w:sz w:val="32"/>
      <w:szCs w:val="32"/>
    </w:rPr>
  </w:style>
  <w:style w:type="character" w:customStyle="1" w:styleId="70">
    <w:name w:val="标题 1 Char"/>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beforeAutospacing="0" w:afterAutospacing="0"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5"/>
    <w:qFormat/>
    <w:uiPriority w:val="0"/>
    <w:rPr>
      <w:rFonts w:eastAsia="宋体"/>
      <w:lang w:val="en-US" w:eastAsia="zh-CN" w:bidi="ar-SA"/>
    </w:rPr>
  </w:style>
  <w:style w:type="character" w:customStyle="1" w:styleId="77">
    <w:name w:val="纯文本 Char"/>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rPr>
  </w:style>
  <w:style w:type="character" w:customStyle="1" w:styleId="85">
    <w:name w:val="style61"/>
    <w:qFormat/>
    <w:uiPriority w:val="0"/>
    <w:rPr>
      <w:b/>
      <w:bCs/>
    </w:rPr>
  </w:style>
  <w:style w:type="character" w:customStyle="1" w:styleId="86">
    <w:name w:val="页眉 Char"/>
    <w:link w:val="35"/>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40"/>
    <w:qFormat/>
    <w:uiPriority w:val="0"/>
    <w:rPr>
      <w:rFonts w:ascii="Arial" w:hAnsi="Arial"/>
      <w:b/>
      <w:kern w:val="28"/>
      <w:sz w:val="32"/>
    </w:rPr>
  </w:style>
  <w:style w:type="character" w:customStyle="1" w:styleId="90">
    <w:name w:val="页脚 Char"/>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beforeAutospacing="0" w:afterAutospacing="0"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beforeAutospacing="0" w:afterAutospacing="0"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beforeAutospacing="0" w:after="160" w:afterAutospacing="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beforeAutospacing="0" w:after="330" w:afterAutospacing="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beforeAutospacing="0" w:afterAutospacing="0"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beforeAutospacing="0" w:after="160" w:afterAutospacing="0" w:line="240" w:lineRule="exact"/>
    </w:pPr>
    <w:rPr>
      <w:rFonts w:ascii="Verdana" w:hAnsi="Verdana" w:eastAsia="仿宋_GB2312"/>
      <w:szCs w:val="20"/>
      <w:lang w:eastAsia="en-US"/>
    </w:rPr>
  </w:style>
  <w:style w:type="paragraph" w:customStyle="1" w:styleId="99">
    <w:name w:val="TOC 标题1"/>
    <w:basedOn w:val="5"/>
    <w:qFormat/>
    <w:uiPriority w:val="0"/>
    <w:pPr>
      <w:keepNext/>
      <w:keepLines/>
      <w:widowControl/>
      <w:autoSpaceDE/>
      <w:autoSpaceDN/>
      <w:adjustRightInd/>
      <w:spacing w:before="480" w:beforeAutospacing="0" w:afterAutospacing="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beforeAutospacing="0" w:after="160" w:afterAutospacing="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beforeAutospacing="0" w:after="100" w:afterAutospacing="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beforeAutospacing="0" w:afterAutospacing="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beforeAutospacing="0" w:afterAutospacing="0"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beforeAutospacing="0" w:afterAutospacing="0"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beforeAutospacing="0" w:afterAutospacing="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beforeAutospacing="0" w:afterAutospacing="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beforeAutospacing="0" w:after="160" w:afterAutospacing="0" w:line="240" w:lineRule="exact"/>
    </w:pPr>
    <w:rPr>
      <w:rFonts w:ascii="Times New Roman"/>
      <w:kern w:val="2"/>
      <w:lang w:eastAsia="en-US"/>
    </w:rPr>
  </w:style>
  <w:style w:type="paragraph" w:customStyle="1" w:styleId="118">
    <w:name w:val="标题4"/>
    <w:basedOn w:val="75"/>
    <w:qFormat/>
    <w:uiPriority w:val="0"/>
    <w:pPr>
      <w:spacing w:beforeAutospacing="0" w:afterAutospacing="0"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beforeAutospacing="0" w:afterAutospacing="0"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beforeAutospacing="0" w:after="312" w:afterAutospacing="0"/>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beforeAutospacing="0" w:after="240" w:afterAutospacing="0"/>
      <w:ind w:left="720" w:leftChars="300"/>
    </w:pPr>
    <w:rPr>
      <w:rFonts w:ascii="Calibri" w:eastAsia="DFKai-SB" w:cs="Times New Roman"/>
      <w:lang w:eastAsia="en-US"/>
    </w:rPr>
  </w:style>
  <w:style w:type="paragraph" w:customStyle="1" w:styleId="125">
    <w:name w:val="表格栏头"/>
    <w:basedOn w:val="126"/>
    <w:qFormat/>
    <w:uiPriority w:val="0"/>
    <w:rPr>
      <w:b/>
    </w:rPr>
  </w:style>
  <w:style w:type="paragraph" w:customStyle="1" w:styleId="126">
    <w:name w:val="表格正文"/>
    <w:basedOn w:val="1"/>
    <w:qFormat/>
    <w:uiPriority w:val="0"/>
    <w:pPr>
      <w:widowControl/>
      <w:overflowPunct w:val="0"/>
      <w:spacing w:before="312" w:beforeAutospacing="0" w:after="312" w:afterAutospacing="0" w:line="360" w:lineRule="auto"/>
    </w:pPr>
    <w:rPr>
      <w:rFonts w:hAnsi="Tahoma"/>
      <w:szCs w:val="20"/>
    </w:rPr>
  </w:style>
  <w:style w:type="paragraph" w:customStyle="1" w:styleId="127">
    <w:name w:val="正文列表"/>
    <w:basedOn w:val="1"/>
    <w:qFormat/>
    <w:uiPriority w:val="0"/>
    <w:pPr>
      <w:jc w:val="center"/>
    </w:pPr>
    <w:rPr>
      <w:rFonts w:hAnsi="宋体"/>
      <w:szCs w:val="20"/>
    </w:rPr>
  </w:style>
  <w:style w:type="paragraph" w:customStyle="1" w:styleId="128">
    <w:name w:val="图"/>
    <w:basedOn w:val="1"/>
    <w:qFormat/>
    <w:uiPriority w:val="0"/>
    <w:pPr>
      <w:keepNext/>
      <w:autoSpaceDE/>
      <w:autoSpaceDN/>
      <w:spacing w:before="60" w:beforeAutospacing="0" w:after="60" w:afterAutospacing="0" w:line="300" w:lineRule="auto"/>
      <w:jc w:val="center"/>
    </w:pPr>
    <w:rPr>
      <w:rFonts w:ascii="Times New Roman"/>
      <w:spacing w:val="20"/>
      <w:szCs w:val="20"/>
    </w:rPr>
  </w:style>
  <w:style w:type="paragraph" w:customStyle="1" w:styleId="129">
    <w:name w:val="题注4"/>
    <w:basedOn w:val="1"/>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beforeAutospacing="0" w:after="312" w:afterAutospacing="0"/>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beforeAutospacing="0" w:afterAutospacing="0"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beforeAutospacing="0" w:after="160" w:afterAutospacing="0" w:line="360" w:lineRule="auto"/>
    </w:pPr>
    <w:rPr>
      <w:rFonts w:ascii="Verdana" w:hAnsi="Verdana" w:cs="Times New Roman"/>
      <w:sz w:val="21"/>
      <w:szCs w:val="20"/>
      <w:lang w:eastAsia="en-US"/>
    </w:rPr>
  </w:style>
  <w:style w:type="paragraph" w:customStyle="1" w:styleId="135">
    <w:name w:val="进度表"/>
    <w:basedOn w:val="15"/>
    <w:qFormat/>
    <w:uiPriority w:val="0"/>
    <w:pPr>
      <w:widowControl w:val="0"/>
      <w:snapToGrid w:val="0"/>
      <w:spacing w:beforeAutospacing="0" w:afterAutospacing="0"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beforeAutospacing="0" w:afterAutospacing="0" w:line="600" w:lineRule="exact"/>
      <w:jc w:val="both"/>
      <w:outlineLvl w:val="9"/>
    </w:pPr>
    <w:rPr>
      <w:rFonts w:ascii="Times New Roman" w:eastAsia="仿宋_GB2312"/>
      <w:kern w:val="2"/>
      <w:sz w:val="31"/>
    </w:rPr>
  </w:style>
  <w:style w:type="paragraph" w:customStyle="1" w:styleId="139">
    <w:name w:val="题注5"/>
    <w:basedOn w:val="1"/>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beforeAutospacing="0" w:after="160" w:afterAutospacing="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beforeAutospacing="0" w:after="160" w:afterAutospacing="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beforeAutospacing="0" w:afterAutospacing="0"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beforeAutospacing="0" w:after="160" w:afterAutospacing="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qFormat/>
    <w:uiPriority w:val="0"/>
    <w:pPr>
      <w:autoSpaceDE/>
      <w:autoSpaceDN/>
      <w:adjustRightInd/>
      <w:spacing w:beforeLines="50" w:beforeAutospacing="0" w:afterLines="50" w:afterAutospacing="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beforeAutospacing="0" w:afterAutospacing="0" w:line="400" w:lineRule="atLeast"/>
      <w:ind w:left="35" w:leftChars="14" w:hanging="1"/>
      <w:jc w:val="center"/>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beforeAutospacing="0" w:afterLines="50" w:afterAutospacing="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beforeAutospacing="0" w:afterAutospacing="0"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beforeAutospacing="0" w:afterAutospacing="0"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beforeAutospacing="0" w:afterAutospacing="0"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beforeAutospacing="0" w:after="160" w:afterAutospacing="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beforeAutospacing="0" w:afterAutospacing="0"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beforeAutospacing="0" w:after="120" w:afterAutospacing="0" w:line="300" w:lineRule="auto"/>
      <w:jc w:val="center"/>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beforeAutospacing="0" w:after="160" w:afterAutospacing="0" w:line="240" w:lineRule="exact"/>
    </w:pPr>
    <w:rPr>
      <w:rFonts w:ascii="Verdana" w:hAnsi="Verdana" w:eastAsia="楷体_GB2312"/>
      <w:b/>
      <w:i/>
      <w:iCs/>
      <w:color w:val="000000"/>
      <w:sz w:val="20"/>
      <w:szCs w:val="20"/>
      <w:lang w:eastAsia="en-US"/>
    </w:rPr>
  </w:style>
  <w:style w:type="paragraph" w:customStyle="1" w:styleId="175">
    <w:name w:val="表正文"/>
    <w:basedOn w:val="1"/>
    <w:qFormat/>
    <w:uiPriority w:val="0"/>
    <w:pPr>
      <w:autoSpaceDE/>
      <w:autoSpaceDN/>
      <w:adjustRightInd/>
      <w:spacing w:beforeAutospacing="0" w:afterAutospacing="0"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beforeAutospacing="0" w:after="160" w:afterAutospacing="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beforeAutospacing="0" w:afterAutospacing="0"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beforeAutospacing="0" w:after="160" w:afterAutospacing="0" w:line="240" w:lineRule="exact"/>
    </w:pPr>
    <w:rPr>
      <w:rFonts w:ascii="Times New Roman"/>
      <w:kern w:val="2"/>
      <w:sz w:val="21"/>
    </w:rPr>
  </w:style>
  <w:style w:type="paragraph" w:customStyle="1" w:styleId="179">
    <w:name w:val="正文居中"/>
    <w:basedOn w:val="1"/>
    <w:qFormat/>
    <w:uiPriority w:val="0"/>
    <w:pPr>
      <w:autoSpaceDE/>
      <w:autoSpaceDN/>
      <w:snapToGrid w:val="0"/>
      <w:spacing w:beforeAutospacing="0" w:afterAutospacing="0" w:line="300" w:lineRule="auto"/>
      <w:jc w:val="center"/>
    </w:pPr>
    <w:rPr>
      <w:rFonts w:ascii="Times New Roman"/>
      <w:kern w:val="2"/>
      <w:sz w:val="21"/>
    </w:rPr>
  </w:style>
  <w:style w:type="paragraph" w:customStyle="1" w:styleId="180">
    <w:name w:val="样式37"/>
    <w:basedOn w:val="1"/>
    <w:qFormat/>
    <w:uiPriority w:val="0"/>
    <w:pPr>
      <w:widowControl/>
      <w:spacing w:beforeAutospacing="0" w:afterAutospacing="0" w:line="360" w:lineRule="auto"/>
    </w:pPr>
    <w:rPr>
      <w:rFonts w:hAnsi="宋体"/>
      <w:spacing w:val="-2"/>
      <w:szCs w:val="21"/>
    </w:rPr>
  </w:style>
  <w:style w:type="paragraph" w:customStyle="1" w:styleId="181">
    <w:name w:val="文档正文"/>
    <w:basedOn w:val="1"/>
    <w:qFormat/>
    <w:uiPriority w:val="0"/>
    <w:pPr>
      <w:spacing w:beforeAutospacing="0" w:afterAutospacing="0" w:line="460" w:lineRule="exact"/>
      <w:ind w:firstLine="567"/>
    </w:pPr>
    <w:rPr>
      <w:rFonts w:ascii="Arial" w:hAnsi="Arial"/>
    </w:rPr>
  </w:style>
  <w:style w:type="paragraph" w:customStyle="1" w:styleId="182">
    <w:name w:val="正文列序2"/>
    <w:basedOn w:val="1"/>
    <w:qFormat/>
    <w:uiPriority w:val="0"/>
    <w:pPr>
      <w:spacing w:beforeAutospacing="0" w:afterAutospacing="0" w:line="360" w:lineRule="auto"/>
      <w:ind w:firstLine="425"/>
    </w:pPr>
    <w:rPr>
      <w:rFonts w:hAnsi="宋体"/>
    </w:rPr>
  </w:style>
  <w:style w:type="character" w:customStyle="1" w:styleId="183">
    <w:name w:val="批注文字 Char"/>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beforeAutospacing="0" w:afterAutospacing="0" w:line="480" w:lineRule="auto"/>
      <w:ind w:firstLine="540"/>
    </w:pPr>
    <w:rPr>
      <w:kern w:val="0"/>
      <w:sz w:val="20"/>
      <w:szCs w:val="20"/>
    </w:rPr>
  </w:style>
  <w:style w:type="character" w:customStyle="1" w:styleId="185">
    <w:name w:val="font21"/>
    <w:basedOn w:val="53"/>
    <w:qFormat/>
    <w:uiPriority w:val="0"/>
    <w:rPr>
      <w:rFonts w:ascii="宋体" w:hAnsi="宋体" w:eastAsia="宋体" w:cs="宋体"/>
      <w:color w:val="000000"/>
      <w:sz w:val="36"/>
      <w:szCs w:val="36"/>
    </w:rPr>
  </w:style>
  <w:style w:type="character" w:customStyle="1" w:styleId="186">
    <w:name w:val="font31"/>
    <w:basedOn w:val="53"/>
    <w:qFormat/>
    <w:uiPriority w:val="0"/>
    <w:rPr>
      <w:rFonts w:ascii="宋体" w:hAnsi="宋体" w:eastAsia="宋体" w:cs="宋体"/>
      <w:color w:val="000000"/>
      <w:sz w:val="44"/>
      <w:szCs w:val="44"/>
    </w:rPr>
  </w:style>
  <w:style w:type="character" w:customStyle="1" w:styleId="187">
    <w:name w:val="font41"/>
    <w:basedOn w:val="53"/>
    <w:qFormat/>
    <w:uiPriority w:val="0"/>
    <w:rPr>
      <w:rFonts w:ascii="宋体" w:hAnsi="宋体" w:eastAsia="宋体" w:cs="宋体"/>
      <w:b/>
      <w:bCs/>
      <w:color w:val="000000"/>
      <w:sz w:val="60"/>
      <w:szCs w:val="60"/>
    </w:rPr>
  </w:style>
  <w:style w:type="character" w:customStyle="1" w:styleId="188">
    <w:name w:val="font11"/>
    <w:basedOn w:val="53"/>
    <w:qFormat/>
    <w:uiPriority w:val="0"/>
    <w:rPr>
      <w:rFonts w:ascii="宋体" w:hAnsi="宋体" w:eastAsia="宋体" w:cs="宋体"/>
      <w:color w:val="000000"/>
      <w:sz w:val="32"/>
      <w:szCs w:val="32"/>
    </w:rPr>
  </w:style>
  <w:style w:type="character" w:customStyle="1" w:styleId="189">
    <w:name w:val="font61"/>
    <w:basedOn w:val="53"/>
    <w:qFormat/>
    <w:uiPriority w:val="0"/>
    <w:rPr>
      <w:rFonts w:ascii="宋体" w:hAnsi="宋体" w:eastAsia="宋体" w:cs="宋体"/>
      <w:color w:val="000000"/>
      <w:sz w:val="50"/>
      <w:szCs w:val="50"/>
    </w:rPr>
  </w:style>
  <w:style w:type="character" w:customStyle="1" w:styleId="190">
    <w:name w:val="font51"/>
    <w:basedOn w:val="53"/>
    <w:qFormat/>
    <w:uiPriority w:val="0"/>
    <w:rPr>
      <w:rFonts w:ascii="宋体" w:hAnsi="宋体" w:eastAsia="宋体" w:cs="宋体"/>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59</Pages>
  <Words>29277</Words>
  <Characters>30558</Characters>
  <Lines>28</Lines>
  <Paragraphs>46</Paragraphs>
  <TotalTime>36</TotalTime>
  <ScaleCrop>false</ScaleCrop>
  <LinksUpToDate>false</LinksUpToDate>
  <CharactersWithSpaces>31667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xxy</cp:lastModifiedBy>
  <dcterms:modified xsi:type="dcterms:W3CDTF">2023-09-25T07:47:31Z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5BBC835A85DD47499A0A5A27AA65571D_13</vt:lpwstr>
  </property>
</Properties>
</file>